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9B89B">
      <w:pPr>
        <w:jc w:val="center"/>
        <w:rPr>
          <w:rFonts w:ascii="黑体" w:hAnsi="黑体" w:eastAsia="黑体" w:cs="仿宋"/>
          <w:sz w:val="36"/>
          <w:szCs w:val="44"/>
        </w:rPr>
      </w:pPr>
      <w:r>
        <w:rPr>
          <w:rFonts w:hint="eastAsia" w:ascii="黑体" w:hAnsi="黑体" w:eastAsia="黑体" w:cs="仿宋"/>
          <w:sz w:val="36"/>
          <w:szCs w:val="44"/>
        </w:rPr>
        <w:t>风险告知书</w:t>
      </w:r>
    </w:p>
    <w:p w14:paraId="3E623759">
      <w:pPr>
        <w:rPr>
          <w:rFonts w:ascii="仿宋" w:hAnsi="仿宋" w:eastAsia="仿宋"/>
          <w:sz w:val="32"/>
          <w:szCs w:val="32"/>
        </w:rPr>
      </w:pPr>
      <w:r>
        <w:rPr>
          <w:rFonts w:hint="eastAsia" w:ascii="仿宋" w:hAnsi="仿宋" w:eastAsia="仿宋"/>
          <w:sz w:val="32"/>
          <w:szCs w:val="32"/>
        </w:rPr>
        <w:t>尊敬的客户：</w:t>
      </w:r>
    </w:p>
    <w:p w14:paraId="66B40546">
      <w:pPr>
        <w:ind w:firstLine="640" w:firstLineChars="200"/>
        <w:rPr>
          <w:rFonts w:ascii="仿宋" w:hAnsi="仿宋" w:eastAsia="仿宋"/>
          <w:sz w:val="32"/>
          <w:szCs w:val="32"/>
        </w:rPr>
      </w:pPr>
      <w:r>
        <w:rPr>
          <w:rFonts w:hint="eastAsia" w:ascii="仿宋" w:hAnsi="仿宋" w:eastAsia="仿宋"/>
          <w:sz w:val="32"/>
          <w:szCs w:val="32"/>
        </w:rPr>
        <w:t>您成为苏交网会员、申请</w:t>
      </w:r>
      <w:r>
        <w:rPr>
          <w:rFonts w:hint="eastAsia" w:ascii="仿宋" w:hAnsi="仿宋" w:eastAsia="仿宋"/>
          <w:color w:val="000000" w:themeColor="text1"/>
          <w:sz w:val="32"/>
          <w:szCs w:val="32"/>
          <w14:textFill>
            <w14:solidFill>
              <w14:schemeClr w14:val="tx1"/>
            </w14:solidFill>
          </w14:textFill>
        </w:rPr>
        <w:t>江苏省国信数字科技有限公司</w:t>
      </w:r>
      <w:r>
        <w:rPr>
          <w:rFonts w:hint="eastAsia" w:ascii="仿宋" w:hAnsi="仿宋" w:eastAsia="仿宋"/>
          <w:sz w:val="32"/>
          <w:szCs w:val="32"/>
        </w:rPr>
        <w:t>C</w:t>
      </w:r>
      <w:r>
        <w:rPr>
          <w:rFonts w:ascii="仿宋" w:hAnsi="仿宋" w:eastAsia="仿宋"/>
          <w:sz w:val="32"/>
          <w:szCs w:val="32"/>
        </w:rPr>
        <w:t>A</w:t>
      </w:r>
      <w:r>
        <w:rPr>
          <w:rFonts w:hint="eastAsia" w:ascii="仿宋" w:hAnsi="仿宋" w:eastAsia="仿宋"/>
          <w:sz w:val="32"/>
          <w:szCs w:val="32"/>
        </w:rPr>
        <w:t>证书（数字证书）后，通过C</w:t>
      </w:r>
      <w:r>
        <w:rPr>
          <w:rFonts w:ascii="仿宋" w:hAnsi="仿宋" w:eastAsia="仿宋"/>
          <w:sz w:val="32"/>
          <w:szCs w:val="32"/>
        </w:rPr>
        <w:t>A</w:t>
      </w:r>
      <w:r>
        <w:rPr>
          <w:rFonts w:hint="eastAsia" w:ascii="仿宋" w:hAnsi="仿宋" w:eastAsia="仿宋"/>
          <w:sz w:val="32"/>
          <w:szCs w:val="32"/>
        </w:rPr>
        <w:t>证书认证后登入苏交网进行相关业务前，请您充分了解和认识相关风险。</w:t>
      </w:r>
    </w:p>
    <w:p w14:paraId="1B785587">
      <w:pPr>
        <w:adjustRightInd w:val="0"/>
        <w:snapToGrid w:val="0"/>
        <w:spacing w:line="580" w:lineRule="exact"/>
        <w:ind w:firstLine="643" w:firstLineChars="200"/>
        <w:rPr>
          <w:rFonts w:ascii="仿宋" w:hAnsi="仿宋" w:eastAsia="仿宋" w:cs="Times New Roman"/>
          <w:b/>
          <w:sz w:val="32"/>
          <w:szCs w:val="32"/>
        </w:rPr>
      </w:pPr>
      <w:r>
        <w:rPr>
          <w:rFonts w:hint="eastAsia" w:ascii="仿宋" w:hAnsi="仿宋" w:eastAsia="仿宋"/>
          <w:b/>
          <w:sz w:val="32"/>
          <w:szCs w:val="32"/>
        </w:rPr>
        <w:t>一、</w:t>
      </w:r>
      <w:r>
        <w:rPr>
          <w:rFonts w:ascii="仿宋" w:hAnsi="仿宋" w:eastAsia="仿宋" w:cs="Times New Roman"/>
          <w:b/>
          <w:sz w:val="32"/>
          <w:szCs w:val="32"/>
        </w:rPr>
        <w:t>法律、政策风险</w:t>
      </w:r>
    </w:p>
    <w:p w14:paraId="7C476D22">
      <w:pPr>
        <w:adjustRightInd w:val="0"/>
        <w:snapToGrid w:val="0"/>
        <w:spacing w:line="580" w:lineRule="exact"/>
        <w:ind w:firstLine="640" w:firstLineChars="200"/>
        <w:rPr>
          <w:rFonts w:ascii="仿宋" w:hAnsi="仿宋" w:eastAsia="仿宋" w:cs="黑体"/>
          <w:b/>
          <w:bCs/>
          <w:sz w:val="32"/>
          <w:szCs w:val="32"/>
        </w:rPr>
      </w:pPr>
      <w:r>
        <w:rPr>
          <w:rFonts w:ascii="仿宋" w:hAnsi="仿宋" w:eastAsia="仿宋" w:cs="Times New Roman"/>
          <w:sz w:val="32"/>
          <w:szCs w:val="32"/>
        </w:rPr>
        <w:t>您已知悉</w:t>
      </w:r>
      <w:r>
        <w:rPr>
          <w:rFonts w:hint="eastAsia" w:ascii="仿宋" w:hAnsi="仿宋" w:eastAsia="仿宋" w:cs="黑体"/>
          <w:b/>
          <w:bCs/>
          <w:sz w:val="32"/>
          <w:szCs w:val="32"/>
        </w:rPr>
        <w:t>国家法律、法规、规章、规范性文件、监管政策变化以及上海清算所业务规则与指南、苏交网业务规则的施行、修订、修正、废止等情况，均可能会对您的业务产生影响，您将自行承担由此产生的相关损失。</w:t>
      </w:r>
    </w:p>
    <w:p w14:paraId="54468F8A">
      <w:pPr>
        <w:ind w:firstLine="643" w:firstLineChars="200"/>
        <w:rPr>
          <w:rFonts w:ascii="仿宋" w:hAnsi="仿宋" w:eastAsia="仿宋"/>
          <w:b/>
          <w:sz w:val="32"/>
          <w:szCs w:val="32"/>
        </w:rPr>
      </w:pPr>
      <w:r>
        <w:rPr>
          <w:rFonts w:hint="eastAsia" w:ascii="仿宋" w:hAnsi="仿宋" w:eastAsia="仿宋"/>
          <w:b/>
          <w:sz w:val="32"/>
          <w:szCs w:val="32"/>
        </w:rPr>
        <w:t>二、</w:t>
      </w:r>
      <w:r>
        <w:rPr>
          <w:rFonts w:hint="eastAsia" w:ascii="仿宋" w:hAnsi="仿宋" w:eastAsia="仿宋" w:cs="Times New Roman"/>
          <w:b/>
          <w:sz w:val="32"/>
          <w:szCs w:val="32"/>
        </w:rPr>
        <w:t>监管</w:t>
      </w:r>
      <w:r>
        <w:rPr>
          <w:rFonts w:ascii="仿宋" w:hAnsi="仿宋" w:eastAsia="仿宋" w:cs="Times New Roman"/>
          <w:b/>
          <w:sz w:val="32"/>
          <w:szCs w:val="32"/>
        </w:rPr>
        <w:t>风险</w:t>
      </w:r>
    </w:p>
    <w:p w14:paraId="398D0C84">
      <w:pPr>
        <w:ind w:firstLine="643" w:firstLineChars="200"/>
        <w:rPr>
          <w:rFonts w:ascii="仿宋" w:hAnsi="仿宋" w:eastAsia="仿宋" w:cs="Times New Roman"/>
          <w:sz w:val="32"/>
          <w:szCs w:val="32"/>
        </w:rPr>
      </w:pPr>
      <w:r>
        <w:rPr>
          <w:rFonts w:ascii="仿宋" w:hAnsi="仿宋" w:eastAsia="仿宋" w:cs="Times New Roman"/>
          <w:b/>
          <w:sz w:val="32"/>
          <w:szCs w:val="32"/>
        </w:rPr>
        <w:t>您</w:t>
      </w:r>
      <w:r>
        <w:rPr>
          <w:rFonts w:hint="eastAsia" w:ascii="仿宋" w:hAnsi="仿宋" w:eastAsia="仿宋" w:cs="Times New Roman"/>
          <w:b/>
          <w:sz w:val="32"/>
          <w:szCs w:val="32"/>
        </w:rPr>
        <w:t>所开展的贸易业务均需基于真实的交易目的，不得从事虚假贸易等违规经营活动。</w:t>
      </w:r>
      <w:r>
        <w:rPr>
          <w:rFonts w:hint="eastAsia" w:ascii="仿宋" w:hAnsi="仿宋" w:eastAsia="仿宋" w:cs="Times New Roman"/>
          <w:sz w:val="32"/>
          <w:szCs w:val="32"/>
        </w:rPr>
        <w:t>否则，交易活动将被监管部门调查或被我司终止，您将自行承担相应的法律后果。</w:t>
      </w:r>
    </w:p>
    <w:p w14:paraId="751E120B">
      <w:pPr>
        <w:ind w:firstLine="643" w:firstLineChars="200"/>
        <w:rPr>
          <w:rFonts w:ascii="仿宋" w:hAnsi="仿宋" w:eastAsia="仿宋"/>
          <w:b/>
          <w:sz w:val="32"/>
          <w:szCs w:val="32"/>
        </w:rPr>
      </w:pPr>
      <w:r>
        <w:rPr>
          <w:rFonts w:hint="eastAsia" w:ascii="仿宋" w:hAnsi="仿宋" w:eastAsia="仿宋"/>
          <w:b/>
          <w:sz w:val="32"/>
          <w:szCs w:val="32"/>
        </w:rPr>
        <w:t>三、</w:t>
      </w:r>
      <w:r>
        <w:rPr>
          <w:rFonts w:ascii="仿宋" w:hAnsi="仿宋" w:eastAsia="仿宋" w:cs="Times New Roman"/>
          <w:b/>
          <w:sz w:val="32"/>
          <w:szCs w:val="32"/>
        </w:rPr>
        <w:t>技术风险</w:t>
      </w:r>
    </w:p>
    <w:p w14:paraId="71CEC8A9">
      <w:pPr>
        <w:adjustRightInd w:val="0"/>
        <w:snapToGrid w:val="0"/>
        <w:spacing w:line="58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苏交网</w:t>
      </w:r>
      <w:r>
        <w:rPr>
          <w:rFonts w:ascii="仿宋" w:hAnsi="仿宋" w:eastAsia="仿宋" w:cs="Times New Roman"/>
          <w:sz w:val="32"/>
          <w:szCs w:val="32"/>
        </w:rPr>
        <w:t>的业务通过互联网技术实现。有关通讯服务、</w:t>
      </w:r>
      <w:r>
        <w:rPr>
          <w:rFonts w:hint="eastAsia" w:ascii="仿宋" w:hAnsi="仿宋" w:eastAsia="仿宋" w:cs="Times New Roman"/>
          <w:sz w:val="32"/>
          <w:szCs w:val="32"/>
        </w:rPr>
        <w:t>软件系统、相关</w:t>
      </w:r>
      <w:r>
        <w:rPr>
          <w:rFonts w:ascii="仿宋" w:hAnsi="仿宋" w:eastAsia="仿宋" w:cs="Times New Roman"/>
          <w:sz w:val="32"/>
          <w:szCs w:val="32"/>
        </w:rPr>
        <w:t>硬件</w:t>
      </w:r>
      <w:r>
        <w:rPr>
          <w:rFonts w:hint="eastAsia" w:ascii="仿宋" w:hAnsi="仿宋" w:eastAsia="仿宋" w:cs="Times New Roman"/>
          <w:sz w:val="32"/>
          <w:szCs w:val="32"/>
        </w:rPr>
        <w:t>设备</w:t>
      </w:r>
      <w:r>
        <w:rPr>
          <w:rFonts w:ascii="仿宋" w:hAnsi="仿宋" w:eastAsia="仿宋" w:cs="Times New Roman"/>
          <w:sz w:val="32"/>
          <w:szCs w:val="32"/>
        </w:rPr>
        <w:t>可能会存在稳定性方面的风险；电讯信号有强弱之分；</w:t>
      </w:r>
      <w:r>
        <w:rPr>
          <w:rFonts w:hint="eastAsia" w:ascii="仿宋" w:hAnsi="仿宋" w:eastAsia="仿宋" w:cs="Times New Roman"/>
          <w:sz w:val="32"/>
          <w:szCs w:val="32"/>
        </w:rPr>
        <w:t>相关硬件</w:t>
      </w:r>
      <w:r>
        <w:rPr>
          <w:rFonts w:ascii="仿宋" w:hAnsi="仿宋" w:eastAsia="仿宋" w:cs="Times New Roman"/>
          <w:sz w:val="32"/>
          <w:szCs w:val="32"/>
        </w:rPr>
        <w:t>设备配置或连接的稳定性以及互联网传播和接收的实时性可能遭受各种因素的影响。</w:t>
      </w:r>
      <w:r>
        <w:rPr>
          <w:rFonts w:hint="eastAsia" w:ascii="仿宋" w:hAnsi="仿宋" w:eastAsia="仿宋" w:cs="黑体"/>
          <w:b/>
          <w:bCs/>
          <w:sz w:val="32"/>
          <w:szCs w:val="32"/>
        </w:rPr>
        <w:t>以上通讯或网络故障导致的某些服务中断或延时可能会对您的业务产生影响。另外，您的计算机系统可能遭受病毒或网络黑客攻击，从而使您的交易决策无法正确或及时执行；或因您未修改初始密码、密码设置过于简单或者未妥善保管密码而导致您的账户被他人盗用。您已充分了解上述因素影响并自行承担由此产生的相关损失。</w:t>
      </w:r>
    </w:p>
    <w:p w14:paraId="5871D0BE">
      <w:pPr>
        <w:adjustRightInd w:val="0"/>
        <w:snapToGrid w:val="0"/>
        <w:spacing w:line="580" w:lineRule="exact"/>
        <w:ind w:firstLine="643" w:firstLineChars="200"/>
        <w:rPr>
          <w:rFonts w:ascii="仿宋" w:hAnsi="仿宋" w:eastAsia="仿宋" w:cs="Times New Roman"/>
          <w:b/>
          <w:sz w:val="32"/>
          <w:szCs w:val="32"/>
        </w:rPr>
      </w:pPr>
      <w:r>
        <w:rPr>
          <w:rFonts w:hint="eastAsia" w:ascii="仿宋" w:hAnsi="仿宋" w:eastAsia="仿宋" w:cs="Times New Roman"/>
          <w:b/>
          <w:sz w:val="32"/>
          <w:szCs w:val="32"/>
        </w:rPr>
        <w:t>四、</w:t>
      </w:r>
      <w:r>
        <w:rPr>
          <w:rFonts w:ascii="仿宋" w:hAnsi="仿宋" w:eastAsia="仿宋" w:cs="Times New Roman"/>
          <w:b/>
          <w:sz w:val="32"/>
          <w:szCs w:val="32"/>
        </w:rPr>
        <w:t>信用风险</w:t>
      </w:r>
    </w:p>
    <w:p w14:paraId="41D87FD7">
      <w:pPr>
        <w:adjustRightInd w:val="0"/>
        <w:snapToGrid w:val="0"/>
        <w:spacing w:line="580" w:lineRule="exact"/>
        <w:ind w:firstLine="640" w:firstLineChars="200"/>
        <w:rPr>
          <w:rFonts w:ascii="仿宋" w:hAnsi="仿宋" w:eastAsia="仿宋" w:cs="黑体"/>
          <w:b/>
          <w:bCs/>
          <w:sz w:val="32"/>
          <w:szCs w:val="32"/>
        </w:rPr>
      </w:pPr>
      <w:r>
        <w:rPr>
          <w:rFonts w:hint="eastAsia" w:ascii="仿宋" w:hAnsi="仿宋" w:eastAsia="仿宋" w:cs="Times New Roman"/>
          <w:sz w:val="32"/>
          <w:szCs w:val="32"/>
        </w:rPr>
        <w:t>苏交网仅提供交割服务，不参与交易对手的选择、合同洽谈等交易行为</w:t>
      </w:r>
      <w:r>
        <w:rPr>
          <w:rFonts w:ascii="仿宋" w:hAnsi="仿宋" w:eastAsia="仿宋" w:cs="Times New Roman"/>
          <w:sz w:val="32"/>
          <w:szCs w:val="32"/>
        </w:rPr>
        <w:t>。</w:t>
      </w:r>
      <w:r>
        <w:rPr>
          <w:rFonts w:hint="eastAsia" w:ascii="仿宋" w:hAnsi="仿宋" w:eastAsia="仿宋" w:cs="黑体"/>
          <w:b/>
          <w:bCs/>
          <w:sz w:val="32"/>
          <w:szCs w:val="32"/>
        </w:rPr>
        <w:t>您可能会面临交易对手方提供的货物不符合要求的信用风险，您应当自行承担由此产生的相关损失。</w:t>
      </w:r>
    </w:p>
    <w:p w14:paraId="26DF0439">
      <w:pPr>
        <w:adjustRightInd w:val="0"/>
        <w:snapToGrid w:val="0"/>
        <w:spacing w:line="580" w:lineRule="exact"/>
        <w:ind w:firstLine="643" w:firstLineChars="200"/>
        <w:rPr>
          <w:rFonts w:ascii="仿宋" w:hAnsi="仿宋" w:eastAsia="仿宋" w:cs="Times New Roman"/>
          <w:b/>
          <w:sz w:val="32"/>
          <w:szCs w:val="32"/>
        </w:rPr>
      </w:pPr>
      <w:r>
        <w:rPr>
          <w:rFonts w:hint="eastAsia" w:ascii="仿宋" w:hAnsi="仿宋" w:eastAsia="仿宋" w:cs="Times New Roman"/>
          <w:b/>
          <w:sz w:val="32"/>
          <w:szCs w:val="32"/>
        </w:rPr>
        <w:t>五、</w:t>
      </w:r>
      <w:r>
        <w:rPr>
          <w:rFonts w:ascii="仿宋" w:hAnsi="仿宋" w:eastAsia="仿宋" w:cs="Times New Roman"/>
          <w:b/>
          <w:sz w:val="32"/>
          <w:szCs w:val="32"/>
        </w:rPr>
        <w:t>不可抗力风险</w:t>
      </w:r>
    </w:p>
    <w:p w14:paraId="59DC66AC">
      <w:pPr>
        <w:adjustRightInd w:val="0"/>
        <w:snapToGrid w:val="0"/>
        <w:spacing w:line="580" w:lineRule="exact"/>
        <w:ind w:firstLine="640" w:firstLineChars="200"/>
        <w:rPr>
          <w:rFonts w:ascii="仿宋" w:hAnsi="仿宋" w:eastAsia="仿宋" w:cs="Times New Roman"/>
          <w:sz w:val="32"/>
          <w:szCs w:val="32"/>
        </w:rPr>
      </w:pPr>
      <w:r>
        <w:rPr>
          <w:rFonts w:ascii="仿宋" w:hAnsi="仿宋" w:eastAsia="仿宋" w:cs="Times New Roman"/>
          <w:sz w:val="32"/>
          <w:szCs w:val="32"/>
        </w:rPr>
        <w:t>任何</w:t>
      </w:r>
      <w:r>
        <w:rPr>
          <w:rFonts w:hint="eastAsia" w:ascii="仿宋" w:hAnsi="仿宋" w:eastAsia="仿宋" w:cs="Times New Roman"/>
          <w:sz w:val="32"/>
          <w:szCs w:val="32"/>
        </w:rPr>
        <w:t>苏交网</w:t>
      </w:r>
      <w:r>
        <w:rPr>
          <w:rFonts w:ascii="仿宋" w:hAnsi="仿宋" w:eastAsia="仿宋" w:cs="Times New Roman"/>
          <w:sz w:val="32"/>
          <w:szCs w:val="32"/>
        </w:rPr>
        <w:t>不能够控制的原因，</w:t>
      </w:r>
      <w:r>
        <w:rPr>
          <w:rFonts w:hint="eastAsia" w:ascii="仿宋" w:hAnsi="仿宋" w:eastAsia="仿宋" w:cs="黑体"/>
          <w:b/>
          <w:bCs/>
          <w:sz w:val="32"/>
          <w:szCs w:val="32"/>
        </w:rPr>
        <w:t>包括但不限于地震、水灾、火灾、台风、疫情、战争等不可抗力因素或技术故障、通讯故障和电力故障等，都有可能会对您的业务产生影响，你已经充分了解并自行承担由此产生的全部损失。</w:t>
      </w:r>
    </w:p>
    <w:p w14:paraId="7CF88117">
      <w:pPr>
        <w:adjustRightInd w:val="0"/>
        <w:snapToGrid w:val="0"/>
        <w:spacing w:line="58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上述</w:t>
      </w:r>
      <w:r>
        <w:rPr>
          <w:rFonts w:ascii="仿宋" w:hAnsi="仿宋" w:eastAsia="仿宋" w:cs="Times New Roman"/>
          <w:sz w:val="32"/>
          <w:szCs w:val="32"/>
        </w:rPr>
        <w:t>风险仅为列举性质，未能详尽列明所有的风险因素，</w:t>
      </w:r>
      <w:r>
        <w:rPr>
          <w:rFonts w:hint="eastAsia" w:ascii="仿宋" w:hAnsi="仿宋" w:eastAsia="仿宋" w:cs="Times New Roman"/>
          <w:sz w:val="32"/>
          <w:szCs w:val="32"/>
        </w:rPr>
        <w:t>您</w:t>
      </w:r>
      <w:r>
        <w:rPr>
          <w:rFonts w:ascii="仿宋" w:hAnsi="仿宋" w:eastAsia="仿宋" w:cs="Times New Roman"/>
          <w:sz w:val="32"/>
          <w:szCs w:val="32"/>
        </w:rPr>
        <w:t>应当自行认真了解和掌握其他可能存在的风险因素。</w:t>
      </w:r>
    </w:p>
    <w:p w14:paraId="17F6020E">
      <w:pPr>
        <w:pBdr>
          <w:bottom w:val="single" w:color="auto" w:sz="6" w:space="1"/>
        </w:pBdr>
        <w:adjustRightInd w:val="0"/>
        <w:snapToGrid w:val="0"/>
        <w:spacing w:line="580" w:lineRule="exact"/>
        <w:jc w:val="right"/>
        <w:rPr>
          <w:rFonts w:ascii="仿宋" w:hAnsi="仿宋" w:eastAsia="仿宋" w:cs="黑体"/>
          <w:bCs/>
          <w:sz w:val="32"/>
          <w:szCs w:val="32"/>
        </w:rPr>
      </w:pPr>
      <w:r>
        <w:rPr>
          <w:rFonts w:hint="eastAsia" w:ascii="仿宋" w:hAnsi="仿宋" w:eastAsia="仿宋" w:cs="黑体"/>
          <w:bCs/>
          <w:sz w:val="32"/>
          <w:szCs w:val="32"/>
        </w:rPr>
        <w:t>张家港保税数据科</w:t>
      </w:r>
      <w:bookmarkStart w:id="0" w:name="_GoBack"/>
      <w:bookmarkEnd w:id="0"/>
      <w:r>
        <w:rPr>
          <w:rFonts w:hint="eastAsia" w:ascii="仿宋" w:hAnsi="仿宋" w:eastAsia="仿宋" w:cs="黑体"/>
          <w:bCs/>
          <w:sz w:val="32"/>
          <w:szCs w:val="32"/>
        </w:rPr>
        <w:t>技有限公司</w:t>
      </w:r>
    </w:p>
    <w:p w14:paraId="4C66F8EF">
      <w:pPr>
        <w:rPr>
          <w:rFonts w:ascii="仿宋" w:hAnsi="仿宋" w:eastAsia="仿宋"/>
          <w:sz w:val="32"/>
          <w:szCs w:val="32"/>
        </w:rPr>
      </w:pPr>
    </w:p>
    <w:p w14:paraId="0144EE54">
      <w:pPr>
        <w:adjustRightInd w:val="0"/>
        <w:snapToGrid w:val="0"/>
        <w:spacing w:line="580" w:lineRule="exact"/>
        <w:ind w:firstLine="643" w:firstLineChars="200"/>
        <w:rPr>
          <w:rFonts w:ascii="仿宋" w:hAnsi="仿宋" w:eastAsia="仿宋" w:cs="黑体"/>
          <w:b/>
          <w:bCs/>
          <w:sz w:val="32"/>
          <w:szCs w:val="32"/>
        </w:rPr>
      </w:pPr>
      <w:r>
        <w:rPr>
          <w:rFonts w:hint="eastAsia" w:ascii="仿宋" w:hAnsi="仿宋" w:eastAsia="仿宋" w:cs="黑体"/>
          <w:b/>
          <w:bCs/>
          <w:sz w:val="32"/>
          <w:szCs w:val="32"/>
        </w:rPr>
        <w:t>我已仔细阅读上述所有条款，并已特别注意黑体字条款，我对所有条款的含义及相应的法律后果已全部知晓并充分理解。</w:t>
      </w:r>
    </w:p>
    <w:p w14:paraId="0B3E48F2">
      <w:pPr>
        <w:rPr>
          <w:rFonts w:ascii="仿宋" w:hAnsi="仿宋" w:eastAsia="仿宋"/>
          <w:sz w:val="32"/>
          <w:szCs w:val="32"/>
        </w:rPr>
      </w:pPr>
    </w:p>
    <w:p w14:paraId="41C33045">
      <w:pPr>
        <w:rPr>
          <w:rFonts w:ascii="仿宋" w:hAnsi="仿宋" w:eastAsia="仿宋"/>
          <w:sz w:val="32"/>
          <w:szCs w:val="32"/>
        </w:rPr>
      </w:pPr>
    </w:p>
    <w:p w14:paraId="04CEC1BD">
      <w:pPr>
        <w:ind w:firstLine="3401" w:firstLineChars="1063"/>
        <w:rPr>
          <w:rFonts w:ascii="仿宋" w:hAnsi="仿宋" w:eastAsia="仿宋"/>
          <w:sz w:val="32"/>
          <w:szCs w:val="32"/>
        </w:rPr>
      </w:pPr>
      <w:r>
        <w:rPr>
          <w:rFonts w:hint="eastAsia" w:ascii="仿宋" w:hAnsi="仿宋" w:eastAsia="仿宋"/>
          <w:sz w:val="32"/>
          <w:szCs w:val="32"/>
        </w:rPr>
        <w:t>单位（盖章）：</w:t>
      </w:r>
      <w:permStart w:id="0" w:edGrp="everyone"/>
    </w:p>
    <w:permEnd w:id="0"/>
    <w:p w14:paraId="301C7403">
      <w:pPr>
        <w:ind w:firstLine="3401" w:firstLineChars="1063"/>
        <w:rPr>
          <w:rFonts w:ascii="仿宋" w:hAnsi="仿宋" w:eastAsia="仿宋"/>
          <w:sz w:val="32"/>
          <w:szCs w:val="32"/>
        </w:rPr>
      </w:pPr>
      <w:r>
        <w:rPr>
          <w:rFonts w:hint="eastAsia" w:ascii="仿宋" w:hAnsi="仿宋" w:eastAsia="仿宋"/>
          <w:sz w:val="32"/>
          <w:szCs w:val="32"/>
        </w:rPr>
        <w:t>法定代表人：</w:t>
      </w:r>
      <w:permStart w:id="1" w:edGrp="everyone"/>
    </w:p>
    <w:permEnd w:id="1"/>
    <w:p w14:paraId="49E4D597">
      <w:pPr>
        <w:ind w:firstLine="3401" w:firstLineChars="1063"/>
      </w:pPr>
      <w:r>
        <w:rPr>
          <w:rFonts w:hint="eastAsia" w:ascii="仿宋" w:hAnsi="仿宋" w:eastAsia="仿宋"/>
          <w:sz w:val="32"/>
          <w:szCs w:val="32"/>
        </w:rPr>
        <w:t>日 期：</w:t>
      </w:r>
      <w:permStart w:id="2" w:edGrp="everyone"/>
      <w:permEnd w:id="2"/>
    </w:p>
    <w:sectPr>
      <w:headerReference r:id="rId3" w:type="default"/>
      <w:pgSz w:w="11906" w:h="16838"/>
      <w:pgMar w:top="1440" w:right="1800" w:bottom="1440" w:left="1800" w:header="102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E070B">
    <w:pPr>
      <w:pStyle w:val="3"/>
      <w:jc w:val="left"/>
      <w:rPr>
        <w:rFonts w:ascii="仿宋" w:hAnsi="仿宋" w:eastAsia="仿宋"/>
        <w:sz w:val="32"/>
        <w:szCs w:val="32"/>
      </w:rPr>
    </w:pPr>
    <w:r>
      <w:rPr>
        <w:rFonts w:hint="eastAsia" w:ascii="仿宋" w:hAnsi="仿宋" w:eastAsia="仿宋"/>
        <w:sz w:val="32"/>
        <w:szCs w:val="32"/>
      </w:rPr>
      <w:t>附件2：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formatting="1" w:enforcement="1" w:cryptProviderType="rsaFull" w:cryptAlgorithmClass="hash" w:cryptAlgorithmType="typeAny" w:cryptAlgorithmSid="4" w:cryptSpinCount="0" w:hash="4crlm+OMTsa/Hs5Ri0KpLbQADGg=" w:salt="YHE5ndIydKsvHPkVrGYcI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59"/>
    <w:rsid w:val="001E1509"/>
    <w:rsid w:val="007014AD"/>
    <w:rsid w:val="008D108C"/>
    <w:rsid w:val="00917F43"/>
    <w:rsid w:val="00A75547"/>
    <w:rsid w:val="00AB2426"/>
    <w:rsid w:val="00ED1D59"/>
    <w:rsid w:val="00F43556"/>
    <w:rsid w:val="78CD4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86BB2-DD55-4774-80DE-2F46784F9542}">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833</Words>
  <Characters>835</Characters>
  <Lines>6</Lines>
  <Paragraphs>1</Paragraphs>
  <TotalTime>20</TotalTime>
  <ScaleCrop>false</ScaleCrop>
  <LinksUpToDate>false</LinksUpToDate>
  <CharactersWithSpaces>836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2024-11-15T23:31:00Z</dcterms:created>
  <dc:creator>CQY</dc:creator>
  <cp:lastModifiedBy>wu</cp:lastModifiedBy>
  <dcterms:modified xsi:type="dcterms:W3CDTF">2025-09-26T11:01:26Z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eyJoZGlkIjoiNGE2OWNlNDJhOWQ0ZmY3MGQ2ZjkxNGE4ZmZlMWIxNDciLCJ1c2VySWQiOiI0NzgyOTQ1NjYifQ==</vt:lpwstr>
  </property>
  <property fmtid="{D5CDD505-2E9C-101B-9397-08002B2CF9AE}" pid="3" name="KSOProductBuildVer">
    <vt:lpwstr>2052-12.1.0.22529</vt:lpwstr>
  </property>
  <property fmtid="{D5CDD505-2E9C-101B-9397-08002B2CF9AE}" pid="4" name="ICV">
    <vt:lpwstr>341BDE55A6CF4BC1BFFED22794DC782E_12</vt:lpwstr>
  </property>
</Properties>
</file>