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46CF4">
      <w:pPr>
        <w:autoSpaceDE/>
        <w:autoSpaceDN/>
        <w:spacing w:before="318" w:line="400" w:lineRule="exact"/>
        <w:jc w:val="both"/>
        <w:outlineLvl w:val="0"/>
        <w:rPr>
          <w:rFonts w:ascii="黑体" w:hAnsi="黑体" w:eastAsia="黑体" w:cs="黑体"/>
          <w:b/>
          <w:bCs/>
          <w:spacing w:val="8"/>
          <w:lang w:eastAsia="zh-CN"/>
        </w:rPr>
      </w:pPr>
    </w:p>
    <w:p w14:paraId="782487AE">
      <w:pPr>
        <w:autoSpaceDE/>
        <w:autoSpaceDN/>
        <w:spacing w:before="318" w:line="400" w:lineRule="exact"/>
        <w:jc w:val="center"/>
        <w:outlineLvl w:val="0"/>
        <w:rPr>
          <w:rFonts w:ascii="黑体" w:hAnsi="黑体" w:eastAsia="黑体" w:cs="黑体"/>
          <w:b/>
          <w:bCs/>
          <w:sz w:val="32"/>
          <w:szCs w:val="32"/>
          <w:lang w:eastAsia="zh-CN"/>
        </w:rPr>
      </w:pPr>
      <w:r>
        <w:rPr>
          <w:rFonts w:hint="eastAsia" w:ascii="黑体" w:hAnsi="黑体" w:eastAsia="黑体" w:cs="黑体"/>
          <w:b/>
          <w:bCs/>
          <w:spacing w:val="8"/>
          <w:sz w:val="32"/>
          <w:szCs w:val="32"/>
          <w:lang w:eastAsia="zh-CN"/>
        </w:rPr>
        <w:t>清算通交收业务补充</w:t>
      </w:r>
      <w:r>
        <w:rPr>
          <w:rFonts w:ascii="黑体" w:hAnsi="黑体" w:eastAsia="黑体" w:cs="黑体"/>
          <w:b/>
          <w:bCs/>
          <w:spacing w:val="8"/>
          <w:sz w:val="32"/>
          <w:szCs w:val="32"/>
          <w:lang w:eastAsia="zh-CN"/>
        </w:rPr>
        <w:t>协议</w:t>
      </w:r>
    </w:p>
    <w:p w14:paraId="4B3D1176">
      <w:pPr>
        <w:autoSpaceDE/>
        <w:autoSpaceDN/>
        <w:spacing w:line="400" w:lineRule="exact"/>
        <w:jc w:val="center"/>
        <w:rPr>
          <w:rFonts w:ascii="仿宋_GB2312" w:hAnsi="仿宋" w:eastAsia="仿宋_GB2312" w:cs="仿宋"/>
          <w:color w:val="FF0000"/>
          <w:spacing w:val="-4"/>
          <w:lang w:eastAsia="zh-CN"/>
        </w:rPr>
      </w:pPr>
    </w:p>
    <w:p w14:paraId="00D3B08A">
      <w:pPr>
        <w:pStyle w:val="3"/>
        <w:autoSpaceDE/>
        <w:autoSpaceDN/>
        <w:spacing w:line="400" w:lineRule="exact"/>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pacing w:val="-34"/>
          <w:sz w:val="20"/>
          <w:szCs w:val="20"/>
          <w:lang w:eastAsia="zh-CN"/>
          <w14:textFill>
            <w14:solidFill>
              <w14:schemeClr w14:val="tx1"/>
            </w14:solidFill>
          </w14:textFill>
        </w:rPr>
        <w:t>甲方：</w:t>
      </w:r>
      <w:permStart w:id="0" w:edGrp="everyone"/>
      <w:r>
        <w:rPr>
          <w:rFonts w:hint="eastAsia"/>
        </w:rPr>
        <w:t xml:space="preserve"> </w:t>
      </w:r>
    </w:p>
    <w:permEnd w:id="0"/>
    <w:p w14:paraId="54285B59">
      <w:pPr>
        <w:pStyle w:val="3"/>
        <w:autoSpaceDE/>
        <w:autoSpaceDN/>
        <w:spacing w:line="400" w:lineRule="exact"/>
        <w:rPr>
          <w:rFonts w:hint="default"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pacing w:val="-24"/>
          <w:sz w:val="20"/>
          <w:szCs w:val="20"/>
          <w:lang w:eastAsia="zh-CN"/>
          <w14:textFill>
            <w14:solidFill>
              <w14:schemeClr w14:val="tx1"/>
            </w14:solidFill>
          </w14:textFill>
        </w:rPr>
        <w:t>住所：</w:t>
      </w:r>
      <w:permStart w:id="1" w:edGrp="everyone"/>
      <w:r>
        <w:rPr>
          <w:rFonts w:hint="eastAsia"/>
        </w:rPr>
        <w:t xml:space="preserve"> </w:t>
      </w:r>
    </w:p>
    <w:permEnd w:id="1"/>
    <w:p w14:paraId="70D3C913">
      <w:pPr>
        <w:pStyle w:val="3"/>
        <w:autoSpaceDE/>
        <w:autoSpaceDN/>
        <w:spacing w:before="37" w:line="400" w:lineRule="exact"/>
        <w:rPr>
          <w:rFonts w:hint="eastAsia" w:ascii="宋体" w:hAnsi="宋体" w:eastAsia="宋体" w:cs="宋体"/>
          <w:color w:val="000000" w:themeColor="text1"/>
          <w:spacing w:val="-7"/>
          <w:sz w:val="20"/>
          <w:szCs w:val="20"/>
          <w:lang w:eastAsia="zh-CN"/>
          <w14:textFill>
            <w14:solidFill>
              <w14:schemeClr w14:val="tx1"/>
            </w14:solidFill>
          </w14:textFill>
        </w:rPr>
      </w:pPr>
      <w:r>
        <w:rPr>
          <w:rFonts w:hint="eastAsia" w:ascii="宋体" w:hAnsi="宋体" w:eastAsia="宋体" w:cs="宋体"/>
          <w:color w:val="000000" w:themeColor="text1"/>
          <w:spacing w:val="-7"/>
          <w:sz w:val="20"/>
          <w:szCs w:val="20"/>
          <w:lang w:eastAsia="zh-CN"/>
          <w14:textFill>
            <w14:solidFill>
              <w14:schemeClr w14:val="tx1"/>
            </w14:solidFill>
          </w14:textFill>
        </w:rPr>
        <w:t>法定代表人：</w:t>
      </w:r>
      <w:permStart w:id="2" w:edGrp="everyone"/>
      <w:r>
        <w:rPr>
          <w:rFonts w:hint="eastAsia" w:ascii="宋体" w:hAnsi="宋体" w:eastAsia="宋体" w:cs="宋体"/>
          <w:color w:val="000000" w:themeColor="text1"/>
          <w:spacing w:val="-7"/>
          <w:sz w:val="20"/>
          <w:szCs w:val="20"/>
          <w:lang w:eastAsia="zh-CN"/>
          <w14:textFill>
            <w14:solidFill>
              <w14:schemeClr w14:val="tx1"/>
            </w14:solidFill>
          </w14:textFill>
        </w:rPr>
        <w:t xml:space="preserve">   </w:t>
      </w:r>
      <w:permEnd w:id="2"/>
      <w:r>
        <w:rPr>
          <w:rFonts w:hint="eastAsia" w:ascii="宋体" w:hAnsi="宋体" w:eastAsia="宋体" w:cs="宋体"/>
          <w:color w:val="000000" w:themeColor="text1"/>
          <w:spacing w:val="-7"/>
          <w:sz w:val="20"/>
          <w:szCs w:val="20"/>
          <w:lang w:eastAsia="zh-CN"/>
          <w14:textFill>
            <w14:solidFill>
              <w14:schemeClr w14:val="tx1"/>
            </w14:solidFill>
          </w14:textFill>
        </w:rPr>
        <w:t xml:space="preserve">             </w:t>
      </w:r>
    </w:p>
    <w:p w14:paraId="2B454E89">
      <w:pPr>
        <w:pStyle w:val="3"/>
        <w:autoSpaceDE/>
        <w:autoSpaceDN/>
        <w:spacing w:before="37" w:line="400" w:lineRule="exact"/>
        <w:rPr>
          <w:rFonts w:hint="default"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pacing w:val="-7"/>
          <w:sz w:val="20"/>
          <w:szCs w:val="20"/>
          <w:lang w:eastAsia="zh-CN"/>
          <w14:textFill>
            <w14:solidFill>
              <w14:schemeClr w14:val="tx1"/>
            </w14:solidFill>
          </w14:textFill>
        </w:rPr>
        <w:t>联系电话：</w:t>
      </w:r>
      <w:permStart w:id="3" w:edGrp="everyone"/>
      <w:r>
        <w:rPr>
          <w:rFonts w:hint="eastAsia"/>
        </w:rPr>
        <w:t xml:space="preserve"> </w:t>
      </w:r>
    </w:p>
    <w:permEnd w:id="3"/>
    <w:p w14:paraId="3CC53A38">
      <w:pPr>
        <w:autoSpaceDE/>
        <w:autoSpaceDN/>
        <w:spacing w:line="400" w:lineRule="exact"/>
        <w:rPr>
          <w:rFonts w:hint="eastAsia" w:ascii="宋体" w:hAnsi="宋体" w:eastAsia="宋体" w:cs="宋体"/>
          <w:sz w:val="20"/>
          <w:szCs w:val="20"/>
          <w:lang w:eastAsia="zh-CN"/>
        </w:rPr>
      </w:pPr>
      <w:bookmarkStart w:id="2" w:name="_GoBack"/>
      <w:bookmarkEnd w:id="2"/>
    </w:p>
    <w:p w14:paraId="75575A4C">
      <w:pPr>
        <w:pStyle w:val="3"/>
        <w:autoSpaceDE/>
        <w:autoSpaceDN/>
        <w:spacing w:before="78" w:line="400" w:lineRule="exact"/>
        <w:ind w:left="61"/>
        <w:rPr>
          <w:rFonts w:hint="eastAsia" w:ascii="宋体" w:hAnsi="宋体" w:eastAsia="宋体" w:cs="宋体"/>
          <w:sz w:val="20"/>
          <w:szCs w:val="20"/>
          <w:lang w:eastAsia="zh-CN"/>
        </w:rPr>
      </w:pPr>
      <w:r>
        <w:rPr>
          <w:rFonts w:hint="eastAsia" w:ascii="宋体" w:hAnsi="宋体" w:eastAsia="宋体" w:cs="宋体"/>
          <w:spacing w:val="-3"/>
          <w:sz w:val="20"/>
          <w:szCs w:val="20"/>
          <w:lang w:eastAsia="zh-CN"/>
        </w:rPr>
        <w:t>乙方：</w:t>
      </w:r>
      <w:r>
        <w:rPr>
          <w:rFonts w:hint="eastAsia" w:ascii="宋体" w:hAnsi="宋体" w:eastAsia="宋体" w:cs="宋体"/>
          <w:b w:val="0"/>
          <w:bCs w:val="0"/>
          <w:spacing w:val="3"/>
          <w:sz w:val="20"/>
          <w:szCs w:val="20"/>
          <w:u w:val="single"/>
          <w:lang w:eastAsia="zh-CN"/>
        </w:rPr>
        <w:t>福建省正港仓储物流有限公司</w:t>
      </w:r>
    </w:p>
    <w:p w14:paraId="332FFB4A">
      <w:pPr>
        <w:pStyle w:val="3"/>
        <w:autoSpaceDE/>
        <w:autoSpaceDN/>
        <w:spacing w:before="161" w:line="400" w:lineRule="exact"/>
        <w:ind w:left="44"/>
        <w:rPr>
          <w:rFonts w:hint="eastAsia" w:ascii="宋体" w:hAnsi="宋体" w:eastAsia="宋体" w:cs="宋体"/>
          <w:sz w:val="20"/>
          <w:szCs w:val="20"/>
          <w:lang w:eastAsia="zh-CN"/>
        </w:rPr>
      </w:pPr>
      <w:r>
        <w:rPr>
          <w:rFonts w:hint="eastAsia" w:ascii="宋体" w:hAnsi="宋体" w:eastAsia="宋体" w:cs="宋体"/>
          <w:spacing w:val="-2"/>
          <w:sz w:val="20"/>
          <w:szCs w:val="20"/>
          <w:lang w:eastAsia="zh-CN"/>
        </w:rPr>
        <w:t>住所：晋江市内坑镇晋江陆地港通关中心401</w:t>
      </w:r>
    </w:p>
    <w:p w14:paraId="6BD0D2E6">
      <w:pPr>
        <w:pStyle w:val="3"/>
        <w:autoSpaceDE/>
        <w:autoSpaceDN/>
        <w:spacing w:before="157" w:line="400" w:lineRule="exact"/>
        <w:ind w:left="52"/>
        <w:rPr>
          <w:rFonts w:hint="eastAsia" w:ascii="宋体" w:hAnsi="宋体" w:eastAsia="宋体" w:cs="宋体"/>
          <w:spacing w:val="-1"/>
          <w:sz w:val="20"/>
          <w:szCs w:val="20"/>
          <w:lang w:eastAsia="zh-CN"/>
        </w:rPr>
      </w:pPr>
      <w:r>
        <w:rPr>
          <w:rFonts w:hint="eastAsia" w:ascii="宋体" w:hAnsi="宋体" w:eastAsia="宋体" w:cs="宋体"/>
          <w:spacing w:val="-1"/>
          <w:sz w:val="20"/>
          <w:szCs w:val="20"/>
          <w:lang w:eastAsia="zh-CN"/>
        </w:rPr>
        <w:t>法定代表人：</w:t>
      </w:r>
      <w:r>
        <w:rPr>
          <w:rFonts w:hint="eastAsia" w:ascii="宋体" w:hAnsi="宋体" w:eastAsia="宋体" w:cs="宋体"/>
          <w:spacing w:val="-1"/>
          <w:sz w:val="20"/>
          <w:szCs w:val="20"/>
          <w:lang w:val="en-US" w:eastAsia="zh-CN"/>
        </w:rPr>
        <w:t>李锦仪</w:t>
      </w:r>
      <w:r>
        <w:rPr>
          <w:rFonts w:hint="eastAsia" w:ascii="宋体" w:hAnsi="宋体" w:eastAsia="宋体" w:cs="宋体"/>
          <w:spacing w:val="-1"/>
          <w:sz w:val="20"/>
          <w:szCs w:val="20"/>
          <w:lang w:eastAsia="zh-CN"/>
        </w:rPr>
        <w:t xml:space="preserve">               </w:t>
      </w:r>
    </w:p>
    <w:p w14:paraId="52C80C17">
      <w:pPr>
        <w:pStyle w:val="3"/>
        <w:autoSpaceDE/>
        <w:autoSpaceDN/>
        <w:spacing w:before="157" w:line="400" w:lineRule="exact"/>
        <w:ind w:left="52"/>
        <w:rPr>
          <w:rFonts w:hint="eastAsia" w:ascii="宋体" w:hAnsi="宋体" w:eastAsia="宋体" w:cs="宋体"/>
          <w:sz w:val="20"/>
          <w:szCs w:val="20"/>
          <w:lang w:eastAsia="zh-CN"/>
        </w:rPr>
      </w:pPr>
      <w:r>
        <w:rPr>
          <w:rFonts w:hint="eastAsia" w:ascii="宋体" w:hAnsi="宋体" w:eastAsia="宋体" w:cs="宋体"/>
          <w:spacing w:val="-1"/>
          <w:sz w:val="20"/>
          <w:szCs w:val="20"/>
          <w:lang w:eastAsia="zh-CN"/>
        </w:rPr>
        <w:t>联系电话：0595-68581152</w:t>
      </w:r>
    </w:p>
    <w:p w14:paraId="0057AAC7">
      <w:pPr>
        <w:autoSpaceDE/>
        <w:autoSpaceDN/>
        <w:spacing w:line="400" w:lineRule="exact"/>
        <w:rPr>
          <w:rFonts w:hint="eastAsia" w:ascii="宋体" w:hAnsi="宋体" w:eastAsia="宋体" w:cs="宋体"/>
          <w:sz w:val="20"/>
          <w:szCs w:val="20"/>
          <w:lang w:eastAsia="zh-CN"/>
        </w:rPr>
      </w:pPr>
    </w:p>
    <w:p w14:paraId="09C58A02">
      <w:pPr>
        <w:pStyle w:val="3"/>
        <w:autoSpaceDE/>
        <w:autoSpaceDN/>
        <w:spacing w:before="121" w:line="400" w:lineRule="exact"/>
        <w:ind w:left="44" w:right="27" w:firstLine="511"/>
        <w:jc w:val="both"/>
        <w:rPr>
          <w:rFonts w:hint="eastAsia" w:ascii="宋体" w:hAnsi="宋体" w:eastAsia="宋体" w:cs="宋体"/>
          <w:spacing w:val="-4"/>
          <w:sz w:val="20"/>
          <w:szCs w:val="20"/>
          <w:lang w:eastAsia="zh-CN"/>
        </w:rPr>
      </w:pPr>
      <w:r>
        <w:rPr>
          <w:rFonts w:hint="eastAsia" w:ascii="宋体" w:hAnsi="宋体" w:eastAsia="宋体" w:cs="宋体"/>
          <w:spacing w:val="-4"/>
          <w:sz w:val="20"/>
          <w:szCs w:val="20"/>
          <w:lang w:eastAsia="zh-CN"/>
        </w:rPr>
        <w:t>甲乙双方已签署《</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pacing w:val="-4"/>
          <w:sz w:val="20"/>
          <w:szCs w:val="20"/>
          <w:lang w:eastAsia="zh-CN"/>
        </w:rPr>
        <w:t>服务协议》，协议编号为：</w:t>
      </w:r>
      <w:permStart w:id="4" w:edGrp="everyone"/>
      <w:r>
        <w:rPr>
          <w:rFonts w:hint="eastAsia" w:ascii="宋体" w:hAnsi="宋体" w:eastAsia="宋体" w:cs="宋体"/>
          <w:spacing w:val="-4"/>
          <w:sz w:val="20"/>
          <w:szCs w:val="20"/>
          <w:u w:val="single"/>
          <w:lang w:eastAsia="zh-CN"/>
        </w:rPr>
        <w:t xml:space="preserve"> </w:t>
      </w:r>
      <w:r>
        <w:rPr>
          <w:rFonts w:hint="eastAsia" w:ascii="宋体" w:hAnsi="宋体" w:eastAsia="宋体" w:cs="宋体"/>
          <w:spacing w:val="-4"/>
          <w:sz w:val="20"/>
          <w:szCs w:val="20"/>
          <w:u w:val="single"/>
          <w:lang w:val="en-US" w:eastAsia="zh-CN"/>
        </w:rPr>
        <w:t>ZG-</w:t>
      </w:r>
      <w:r>
        <w:rPr>
          <w:rFonts w:hint="eastAsia" w:ascii="宋体" w:hAnsi="宋体" w:eastAsia="宋体" w:cs="宋体"/>
          <w:spacing w:val="-4"/>
          <w:sz w:val="20"/>
          <w:szCs w:val="20"/>
          <w:u w:val="single"/>
          <w:lang w:eastAsia="zh-CN"/>
        </w:rPr>
        <w:t xml:space="preserve"> </w:t>
      </w:r>
      <w:r>
        <w:rPr>
          <w:rFonts w:hint="eastAsia" w:ascii="宋体" w:hAnsi="宋体" w:eastAsia="宋体" w:cs="宋体"/>
          <w:spacing w:val="-4"/>
          <w:sz w:val="20"/>
          <w:szCs w:val="20"/>
          <w:u w:val="single"/>
          <w:lang w:val="en-US" w:eastAsia="zh-CN"/>
        </w:rPr>
        <w:t xml:space="preserve">             </w:t>
      </w:r>
      <w:r>
        <w:rPr>
          <w:rFonts w:hint="eastAsia" w:ascii="宋体" w:hAnsi="宋体" w:eastAsia="宋体" w:cs="宋体"/>
          <w:spacing w:val="-4"/>
          <w:sz w:val="20"/>
          <w:szCs w:val="20"/>
          <w:u w:val="single"/>
          <w:lang w:eastAsia="zh-CN"/>
        </w:rPr>
        <w:t xml:space="preserve"> </w:t>
      </w:r>
      <w:r>
        <w:rPr>
          <w:rFonts w:hint="eastAsia" w:ascii="宋体" w:hAnsi="宋体" w:eastAsia="宋体" w:cs="宋体"/>
          <w:spacing w:val="-4"/>
          <w:sz w:val="20"/>
          <w:szCs w:val="20"/>
          <w:lang w:eastAsia="zh-CN"/>
        </w:rPr>
        <w:t xml:space="preserve"> </w:t>
      </w:r>
      <w:permEnd w:id="4"/>
      <w:r>
        <w:rPr>
          <w:rFonts w:hint="eastAsia" w:ascii="宋体" w:hAnsi="宋体" w:eastAsia="宋体" w:cs="宋体"/>
          <w:spacing w:val="-4"/>
          <w:sz w:val="20"/>
          <w:szCs w:val="20"/>
          <w:lang w:eastAsia="zh-CN"/>
        </w:rPr>
        <w:t>。现因业务发展需求，甲、乙双方根据法律、法规之规定、银行间市场清算所股份有限公司（以下简称“上海清算所”，网址：www.shclearing.com.cn）发布的《大宗商品现货清算业务规则》《大宗商品现货清算业务指南》等相关制度</w:t>
      </w:r>
      <w:r>
        <w:rPr>
          <w:rFonts w:hint="eastAsia" w:ascii="宋体" w:hAnsi="宋体" w:eastAsia="宋体" w:cs="宋体"/>
          <w:spacing w:val="-16"/>
          <w:sz w:val="20"/>
          <w:szCs w:val="20"/>
          <w:lang w:eastAsia="zh-CN"/>
        </w:rPr>
        <w:t>（以下分别简称“规则”、“指南”）</w:t>
      </w:r>
      <w:r>
        <w:rPr>
          <w:rFonts w:hint="eastAsia" w:ascii="宋体" w:hAnsi="宋体" w:eastAsia="宋体" w:cs="宋体"/>
          <w:spacing w:val="-4"/>
          <w:sz w:val="20"/>
          <w:szCs w:val="20"/>
          <w:lang w:eastAsia="zh-CN"/>
        </w:rPr>
        <w:t>，</w:t>
      </w:r>
      <w:r>
        <w:rPr>
          <w:rFonts w:hint="eastAsia" w:ascii="宋体" w:hAnsi="宋体" w:eastAsia="宋体" w:cs="宋体"/>
          <w:spacing w:val="-2"/>
          <w:sz w:val="20"/>
          <w:szCs w:val="20"/>
          <w:lang w:eastAsia="zh-CN"/>
        </w:rPr>
        <w:t>就乙方为甲方提供大宗商品现货清算业务相关服务事宜，</w:t>
      </w:r>
      <w:r>
        <w:rPr>
          <w:rFonts w:hint="eastAsia" w:ascii="宋体" w:hAnsi="宋体" w:eastAsia="宋体" w:cs="宋体"/>
          <w:spacing w:val="-1"/>
          <w:sz w:val="20"/>
          <w:szCs w:val="20"/>
          <w:lang w:eastAsia="zh-CN"/>
        </w:rPr>
        <w:t>达成一致意见并基于原协议内容进行补充，</w:t>
      </w:r>
      <w:r>
        <w:rPr>
          <w:rFonts w:hint="eastAsia" w:ascii="宋体" w:hAnsi="宋体" w:eastAsia="宋体" w:cs="宋体"/>
          <w:spacing w:val="-4"/>
          <w:sz w:val="20"/>
          <w:szCs w:val="20"/>
          <w:lang w:eastAsia="zh-CN"/>
        </w:rPr>
        <w:t>约定如下：</w:t>
      </w:r>
    </w:p>
    <w:p w14:paraId="1D7D390F">
      <w:pPr>
        <w:pStyle w:val="3"/>
        <w:autoSpaceDE/>
        <w:autoSpaceDN/>
        <w:spacing w:before="37" w:line="400" w:lineRule="exact"/>
        <w:ind w:left="534"/>
        <w:rPr>
          <w:rFonts w:hint="eastAsia" w:ascii="宋体" w:hAnsi="宋体" w:eastAsia="宋体" w:cs="宋体"/>
          <w:b/>
          <w:bCs/>
          <w:spacing w:val="-8"/>
          <w:sz w:val="20"/>
          <w:szCs w:val="20"/>
          <w:lang w:eastAsia="zh-CN"/>
        </w:rPr>
      </w:pPr>
      <w:r>
        <w:rPr>
          <w:b/>
          <w:bCs/>
          <w:spacing w:val="3"/>
          <w:lang w:eastAsia="zh-CN"/>
        </w:rPr>
        <w:t>第一条</w:t>
      </w:r>
      <w:r>
        <w:rPr>
          <w:rFonts w:hint="eastAsia"/>
          <w:b/>
          <w:bCs/>
          <w:spacing w:val="3"/>
          <w:lang w:val="en-US" w:eastAsia="zh-CN"/>
        </w:rPr>
        <w:t xml:space="preserve"> </w:t>
      </w:r>
      <w:r>
        <w:rPr>
          <w:rFonts w:hint="eastAsia" w:ascii="宋体" w:hAnsi="宋体" w:eastAsia="宋体" w:cs="宋体"/>
          <w:b/>
          <w:bCs/>
          <w:spacing w:val="-8"/>
          <w:sz w:val="20"/>
          <w:szCs w:val="20"/>
          <w:lang w:eastAsia="zh-CN"/>
        </w:rPr>
        <w:t>定义</w:t>
      </w:r>
    </w:p>
    <w:p w14:paraId="6802C42C">
      <w:pPr>
        <w:pStyle w:val="3"/>
        <w:autoSpaceDE/>
        <w:autoSpaceDN/>
        <w:spacing w:before="37" w:line="400" w:lineRule="exact"/>
        <w:ind w:firstLine="368"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1.清算通交收业务：指交易商之间开展大宗商品现货交易时，交易商通过乙方</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pacing w:val="-8"/>
          <w:sz w:val="20"/>
          <w:szCs w:val="20"/>
          <w:lang w:eastAsia="zh-CN"/>
        </w:rPr>
        <w:t>，经张家港保税数据科技有限公司（以下简称“保税数科”）对接上海清算所“清算通”服务完成现货交易相关资金清算结算。</w:t>
      </w:r>
    </w:p>
    <w:p w14:paraId="4D2CB003">
      <w:pPr>
        <w:pStyle w:val="3"/>
        <w:autoSpaceDE/>
        <w:autoSpaceDN/>
        <w:spacing w:before="37" w:line="400" w:lineRule="exact"/>
        <w:ind w:firstLine="368"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2.交易商：经乙方和保税数科认可，取得上海清算所交易商编码，从事大宗商品贸易、生产、加工等经营活动的公司法人，本协议项下甲方为交易商主体中的一方。</w:t>
      </w:r>
    </w:p>
    <w:p w14:paraId="5124C7AC">
      <w:pPr>
        <w:pStyle w:val="3"/>
        <w:autoSpaceDE/>
        <w:autoSpaceDN/>
        <w:spacing w:before="37" w:line="400" w:lineRule="exact"/>
        <w:ind w:firstLine="368"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4.交收标的：在上海清算所完成备案、合作交收仓库保管、交易商在交易合同中约定交易、上海清算所提供相关资金清算结算服务的大宗商品现货产品。</w:t>
      </w:r>
    </w:p>
    <w:p w14:paraId="0B0CEC4D">
      <w:pPr>
        <w:pStyle w:val="3"/>
        <w:autoSpaceDE/>
        <w:autoSpaceDN/>
        <w:spacing w:before="37" w:line="400" w:lineRule="exact"/>
        <w:ind w:firstLine="368"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5.货权交收：根据交易商之间交易约定，一方交易商通过</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pacing w:val="-8"/>
          <w:sz w:val="20"/>
          <w:szCs w:val="20"/>
          <w:lang w:eastAsia="zh-CN"/>
        </w:rPr>
        <w:t>将货物相关权利转移给另一方交易商的活动。</w:t>
      </w:r>
    </w:p>
    <w:p w14:paraId="09D1FF26">
      <w:pPr>
        <w:pStyle w:val="3"/>
        <w:autoSpaceDE/>
        <w:autoSpaceDN/>
        <w:spacing w:before="37" w:line="400" w:lineRule="exact"/>
        <w:ind w:firstLine="494" w:firstLineChars="200"/>
        <w:rPr>
          <w:rFonts w:hint="eastAsia" w:ascii="宋体" w:hAnsi="宋体" w:eastAsia="宋体" w:cs="宋体"/>
          <w:b/>
          <w:bCs/>
          <w:spacing w:val="-8"/>
          <w:sz w:val="20"/>
          <w:szCs w:val="20"/>
          <w:lang w:eastAsia="zh-CN"/>
        </w:rPr>
      </w:pPr>
      <w:r>
        <w:rPr>
          <w:b/>
          <w:bCs/>
          <w:spacing w:val="3"/>
          <w:lang w:eastAsia="zh-CN"/>
        </w:rPr>
        <w:t>第</w:t>
      </w:r>
      <w:r>
        <w:rPr>
          <w:rFonts w:hint="eastAsia"/>
          <w:b/>
          <w:bCs/>
          <w:spacing w:val="3"/>
          <w:lang w:val="en-US" w:eastAsia="zh-CN"/>
        </w:rPr>
        <w:t>二</w:t>
      </w:r>
      <w:r>
        <w:rPr>
          <w:b/>
          <w:bCs/>
          <w:spacing w:val="3"/>
          <w:lang w:eastAsia="zh-CN"/>
        </w:rPr>
        <w:t>条</w:t>
      </w:r>
      <w:r>
        <w:rPr>
          <w:rFonts w:hint="eastAsia"/>
          <w:b/>
          <w:bCs/>
          <w:spacing w:val="3"/>
          <w:lang w:val="en-US" w:eastAsia="zh-CN"/>
        </w:rPr>
        <w:t xml:space="preserve"> </w:t>
      </w:r>
      <w:r>
        <w:rPr>
          <w:rFonts w:hint="eastAsia" w:ascii="宋体" w:hAnsi="宋体" w:eastAsia="宋体" w:cs="宋体"/>
          <w:b/>
          <w:bCs/>
          <w:spacing w:val="-8"/>
          <w:sz w:val="20"/>
          <w:szCs w:val="20"/>
          <w:lang w:eastAsia="zh-CN"/>
        </w:rPr>
        <w:t>服务内容</w:t>
      </w:r>
    </w:p>
    <w:p w14:paraId="5835F89F">
      <w:pPr>
        <w:pStyle w:val="3"/>
        <w:autoSpaceDE/>
        <w:autoSpaceDN/>
        <w:spacing w:line="400" w:lineRule="exact"/>
        <w:ind w:firstLine="368" w:firstLineChars="200"/>
        <w:jc w:val="both"/>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乙方为甲方开展清算通交收业务提供业务登记、业务办理等服务。</w:t>
      </w:r>
    </w:p>
    <w:p w14:paraId="298FBEDC">
      <w:pPr>
        <w:pStyle w:val="3"/>
        <w:autoSpaceDE/>
        <w:autoSpaceDN/>
        <w:spacing w:line="400" w:lineRule="exact"/>
        <w:ind w:firstLine="368" w:firstLineChars="200"/>
        <w:jc w:val="both"/>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1、业务登记：甲方通过乙方</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pacing w:val="-8"/>
          <w:sz w:val="20"/>
          <w:szCs w:val="20"/>
          <w:lang w:eastAsia="zh-CN"/>
        </w:rPr>
        <w:t>系统自行登记、复核货权交收和资金结算信息。</w:t>
      </w:r>
    </w:p>
    <w:p w14:paraId="0A99C243">
      <w:pPr>
        <w:pStyle w:val="3"/>
        <w:autoSpaceDE/>
        <w:autoSpaceDN/>
        <w:spacing w:line="400" w:lineRule="exact"/>
        <w:ind w:firstLine="368" w:firstLineChars="200"/>
        <w:jc w:val="both"/>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2、业务办理：</w:t>
      </w:r>
    </w:p>
    <w:p w14:paraId="47BE2AA1">
      <w:pPr>
        <w:pStyle w:val="3"/>
        <w:autoSpaceDE/>
        <w:autoSpaceDN/>
        <w:spacing w:line="400" w:lineRule="exact"/>
        <w:ind w:firstLine="368" w:firstLineChars="200"/>
        <w:jc w:val="both"/>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（1）甲方申请开通清算通交收业务时，委托乙方通过保税数科向上海清算所提交交易商编码申请，乙方应积极配合。</w:t>
      </w:r>
    </w:p>
    <w:p w14:paraId="6576355B">
      <w:pPr>
        <w:pStyle w:val="3"/>
        <w:autoSpaceDE/>
        <w:autoSpaceDN/>
        <w:spacing w:line="400" w:lineRule="exact"/>
        <w:ind w:firstLine="368" w:firstLineChars="200"/>
        <w:jc w:val="both"/>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（2）甲方办理清算通交收业务时，乙方将业务申请信息通过保税数科发送至上海清算所，接收并反馈资金清结算结果，同时依据甲方的货权交收登记与资金清结算结果完成货权交收，出具相关凭证。</w:t>
      </w:r>
    </w:p>
    <w:p w14:paraId="02E9E038">
      <w:pPr>
        <w:pStyle w:val="3"/>
        <w:autoSpaceDE/>
        <w:autoSpaceDN/>
        <w:spacing w:line="400" w:lineRule="exact"/>
        <w:ind w:firstLine="494" w:firstLineChars="200"/>
        <w:rPr>
          <w:rFonts w:hint="eastAsia" w:ascii="宋体" w:hAnsi="宋体" w:eastAsia="宋体" w:cs="宋体"/>
          <w:b/>
          <w:bCs/>
          <w:sz w:val="20"/>
          <w:szCs w:val="20"/>
          <w:lang w:eastAsia="zh-CN"/>
        </w:rPr>
      </w:pPr>
      <w:r>
        <w:rPr>
          <w:b/>
          <w:bCs/>
          <w:spacing w:val="3"/>
          <w:lang w:eastAsia="zh-CN"/>
        </w:rPr>
        <w:t>第</w:t>
      </w:r>
      <w:r>
        <w:rPr>
          <w:rFonts w:hint="eastAsia"/>
          <w:b/>
          <w:bCs/>
          <w:spacing w:val="3"/>
          <w:lang w:val="en-US" w:eastAsia="zh-CN"/>
        </w:rPr>
        <w:t>三</w:t>
      </w:r>
      <w:r>
        <w:rPr>
          <w:b/>
          <w:bCs/>
          <w:spacing w:val="3"/>
          <w:lang w:eastAsia="zh-CN"/>
        </w:rPr>
        <w:t>条</w:t>
      </w:r>
      <w:r>
        <w:rPr>
          <w:rFonts w:hint="eastAsia"/>
          <w:b/>
          <w:bCs/>
          <w:spacing w:val="3"/>
          <w:lang w:val="en-US" w:eastAsia="zh-CN"/>
        </w:rPr>
        <w:t xml:space="preserve"> </w:t>
      </w:r>
      <w:r>
        <w:rPr>
          <w:rFonts w:hint="eastAsia" w:ascii="宋体" w:hAnsi="宋体" w:eastAsia="宋体" w:cs="宋体"/>
          <w:b/>
          <w:bCs/>
          <w:sz w:val="20"/>
          <w:szCs w:val="20"/>
          <w:lang w:eastAsia="zh-CN"/>
        </w:rPr>
        <w:t>甲方的职责及义务</w:t>
      </w:r>
    </w:p>
    <w:p w14:paraId="614B76FE">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1.甲方知悉并同意，通过</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z w:val="20"/>
          <w:szCs w:val="20"/>
          <w:lang w:eastAsia="zh-CN"/>
        </w:rPr>
        <w:t>进行清算通交收业务的交易双方，均需注册为</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z w:val="20"/>
          <w:szCs w:val="20"/>
          <w:lang w:eastAsia="zh-CN"/>
        </w:rPr>
        <w:t>用户，从</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z w:val="20"/>
          <w:szCs w:val="20"/>
          <w:lang w:eastAsia="zh-CN"/>
        </w:rPr>
        <w:t>发起业务办理，并对该业务承担法律责任。</w:t>
      </w:r>
    </w:p>
    <w:p w14:paraId="2720E663">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2.甲方遵守上海清算所发布的大宗商品清算通业务相关规则、指南等有关规定。</w:t>
      </w:r>
    </w:p>
    <w:p w14:paraId="343334F7">
      <w:pPr>
        <w:pStyle w:val="3"/>
        <w:autoSpaceDE/>
        <w:autoSpaceDN/>
        <w:spacing w:line="400" w:lineRule="exact"/>
        <w:ind w:firstLine="400" w:firstLineChars="200"/>
        <w:rPr>
          <w:rFonts w:hint="eastAsia" w:ascii="宋体" w:hAnsi="宋体" w:eastAsia="宋体" w:cs="宋体"/>
          <w:sz w:val="20"/>
          <w:szCs w:val="20"/>
          <w:lang w:eastAsia="zh-CN"/>
        </w:rPr>
      </w:pPr>
      <w:bookmarkStart w:id="0" w:name="_Hlk189929598"/>
      <w:r>
        <w:rPr>
          <w:rFonts w:hint="eastAsia" w:ascii="宋体" w:hAnsi="宋体" w:eastAsia="宋体" w:cs="宋体"/>
          <w:sz w:val="20"/>
          <w:szCs w:val="20"/>
          <w:lang w:eastAsia="zh-CN"/>
        </w:rPr>
        <w:t>3.甲方通过</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z w:val="20"/>
          <w:szCs w:val="20"/>
          <w:lang w:eastAsia="zh-CN"/>
        </w:rPr>
        <w:t>开展清算通交收业务，应按照乙方公告的业务规则进行，业务规则为本协议不可分割的重要组成部分，甲方签约前须认真阅读并完全理解其内容。</w:t>
      </w:r>
    </w:p>
    <w:p w14:paraId="2B83A8C5">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甲方开通并使用</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z w:val="20"/>
          <w:szCs w:val="20"/>
          <w:lang w:eastAsia="zh-CN"/>
        </w:rPr>
        <w:t>清算通交收业务服务，即视为甲方同意乙方相关业务规则；如甲方不理解或不认同本协议与乙方业务规则中的任何内容，则甲方应立即停止使用清算通交收业务服务。</w:t>
      </w:r>
    </w:p>
    <w:p w14:paraId="74EE5A84">
      <w:pPr>
        <w:pStyle w:val="3"/>
        <w:autoSpaceDE/>
        <w:autoSpaceDN/>
        <w:spacing w:line="400" w:lineRule="exact"/>
        <w:ind w:firstLine="400" w:firstLineChars="200"/>
        <w:rPr>
          <w:rFonts w:hint="eastAsia" w:ascii="宋体" w:hAnsi="宋体" w:eastAsia="宋体" w:cs="宋体"/>
          <w:color w:val="FF0000"/>
          <w:sz w:val="20"/>
          <w:szCs w:val="20"/>
          <w:lang w:eastAsia="zh-CN"/>
        </w:rPr>
      </w:pPr>
      <w:r>
        <w:rPr>
          <w:rFonts w:hint="eastAsia" w:ascii="宋体" w:hAnsi="宋体" w:eastAsia="宋体" w:cs="宋体"/>
          <w:sz w:val="20"/>
          <w:szCs w:val="20"/>
          <w:lang w:eastAsia="zh-CN"/>
        </w:rPr>
        <w:t>甲方认可，由于网络技术发展、服务内容提升、交易模式多样化等客观因素，本协议条款及现行规则无法完全满足未来发展的需求，乙方将根据法律法规变化及业务发展需要，不定期修改、补充本协议与业务规则。更新后的本协议与业务规则，将进行公告。</w:t>
      </w:r>
    </w:p>
    <w:p w14:paraId="771368B2">
      <w:pPr>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4.甲方应具备相关交收标的的经营资质，保持良好的商业信誉，无重大法律诉讼，无自身或股东资信不良情况，无违法违规及重大行政处罚。</w:t>
      </w:r>
    </w:p>
    <w:bookmarkEnd w:id="0"/>
    <w:p w14:paraId="3EA4607C">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5.甲方同意乙方将业务登记、业务办理信息传递给保税数科、上海清算所与现货清算成员（即商业银行），并保证提供给乙方信息的真实性、准确性，认同基于甲方提供信息开展的货权交收、货款支付、仓储费用及清算费用结算等操作结果。</w:t>
      </w:r>
    </w:p>
    <w:p w14:paraId="43165D92">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6.甲方应就使用清算通交收业务服务向乙方支付相应费用，收费标准按</w:t>
      </w:r>
      <w:r>
        <w:rPr>
          <w:rFonts w:hint="eastAsia" w:ascii="宋体" w:hAnsi="宋体" w:eastAsia="宋体" w:cs="宋体"/>
          <w:spacing w:val="-4"/>
          <w:sz w:val="20"/>
          <w:szCs w:val="20"/>
          <w:lang w:eastAsia="zh-CN"/>
        </w:rPr>
        <w:t>《</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pacing w:val="-4"/>
          <w:sz w:val="20"/>
          <w:szCs w:val="20"/>
          <w:lang w:eastAsia="zh-CN"/>
        </w:rPr>
        <w:t>》约定执行</w:t>
      </w:r>
      <w:r>
        <w:rPr>
          <w:rFonts w:hint="eastAsia" w:ascii="宋体" w:hAnsi="宋体" w:eastAsia="宋体" w:cs="宋体"/>
          <w:sz w:val="20"/>
          <w:szCs w:val="20"/>
          <w:lang w:eastAsia="zh-CN"/>
        </w:rPr>
        <w:t>。</w:t>
      </w:r>
      <w:bookmarkStart w:id="1" w:name="_Hlk193380990"/>
      <w:r>
        <w:rPr>
          <w:rFonts w:hint="eastAsia" w:ascii="宋体" w:hAnsi="宋体" w:eastAsia="宋体" w:cs="宋体"/>
          <w:sz w:val="20"/>
          <w:szCs w:val="20"/>
          <w:lang w:eastAsia="zh-CN"/>
        </w:rPr>
        <w:t>甲方开展的清算通交收业务完成时，乙方提供服务视为已经履行完毕，无论何种情况何种理由，乙方已收取的费用不予退回。</w:t>
      </w:r>
      <w:bookmarkEnd w:id="1"/>
    </w:p>
    <w:p w14:paraId="4C1092CA">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7.如甲方作为收款方交易商，业务完成后，应及时向付款方交易商开具增值税专用发票，并承担与此相关的责任。收款方交易商开票行为受国家相关法律法规约束及国家税务机关的管理和监督，并按相关规定执行。</w:t>
      </w:r>
    </w:p>
    <w:p w14:paraId="32DC26AD">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8.甲方应每日接收并核对</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z w:val="20"/>
          <w:szCs w:val="20"/>
          <w:lang w:eastAsia="zh-CN"/>
        </w:rPr>
        <w:t>所提供的业务相关信息。甲方如有异议，必须在下一工作日以书面形式提出，否则视为确认业务相关信息。</w:t>
      </w:r>
    </w:p>
    <w:p w14:paraId="42C485C7">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9.甲方应自行发起清算通交收业务并选择对应的交收货物，自行承担交易风险，自行解决与交易对方产生的相关交易纠纷。</w:t>
      </w:r>
    </w:p>
    <w:p w14:paraId="084CEF59">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10.甲方需保证通过乙方办理的清算通交收业务，是基于真实贸易背景，并保证该交易行为的合法合规性。</w:t>
      </w:r>
    </w:p>
    <w:p w14:paraId="0A86EAD3">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11.甲方不得利用</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z w:val="20"/>
          <w:szCs w:val="20"/>
          <w:lang w:eastAsia="zh-CN"/>
        </w:rPr>
        <w:t>、上海清算所系统、现货清算成员（即商业银行）系统进行任何形式的违法违规活动；</w:t>
      </w:r>
      <w:r>
        <w:rPr>
          <w:rFonts w:hint="eastAsia" w:ascii="宋体" w:hAnsi="宋体" w:eastAsia="宋体" w:cs="宋体"/>
          <w:spacing w:val="-13"/>
          <w:sz w:val="20"/>
          <w:szCs w:val="20"/>
          <w:lang w:eastAsia="zh-CN"/>
        </w:rPr>
        <w:t>如乙方发现甲方存在涉嫌违法违规、涉及重大诉讼、自身或股东资信不良等情况，有权立即停止向甲方提供清算通交收业务服务以及其他服务。</w:t>
      </w:r>
      <w:r>
        <w:rPr>
          <w:rFonts w:hint="eastAsia" w:ascii="宋体" w:hAnsi="宋体" w:eastAsia="宋体" w:cs="宋体"/>
          <w:sz w:val="20"/>
          <w:szCs w:val="20"/>
          <w:lang w:eastAsia="zh-CN"/>
        </w:rPr>
        <w:t>甲方通过</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z w:val="20"/>
          <w:szCs w:val="20"/>
          <w:lang w:eastAsia="zh-CN"/>
        </w:rPr>
        <w:t>办理货权交收业务过程中形成的相关凭证、单据，仅用于对应的交易核查，不得用于其他用途，否则应承担相应的法律责任。</w:t>
      </w:r>
    </w:p>
    <w:p w14:paraId="74EB4AAF">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12.甲方办理清算通交收业务，应确保货权交收与资金结算一一对应。甲方不得对同一笔货权交收进行多次结算，否则应自行承担相应的法律责任。</w:t>
      </w:r>
    </w:p>
    <w:p w14:paraId="019D17F6">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13.如根据法律法规、规章制度、规范性文件、监管部门的规定或有权机关的命令及上海清算所的要求，需要披露甲方参与的清算通交收业务相关数据或信息，甲方同意并授权乙方、保税数科及相关第三方（如有）向相关有权机关及上海清算所进行披露。</w:t>
      </w:r>
    </w:p>
    <w:p w14:paraId="02ACD991">
      <w:pPr>
        <w:pStyle w:val="3"/>
        <w:autoSpaceDE/>
        <w:autoSpaceDN/>
        <w:spacing w:line="400" w:lineRule="exact"/>
        <w:ind w:firstLine="494" w:firstLineChars="200"/>
        <w:rPr>
          <w:rFonts w:hint="eastAsia" w:ascii="宋体" w:hAnsi="宋体" w:eastAsia="宋体" w:cs="宋体"/>
          <w:b/>
          <w:bCs/>
          <w:sz w:val="20"/>
          <w:szCs w:val="20"/>
          <w:lang w:eastAsia="zh-CN"/>
        </w:rPr>
      </w:pPr>
      <w:r>
        <w:rPr>
          <w:b/>
          <w:bCs/>
          <w:spacing w:val="3"/>
          <w:lang w:eastAsia="zh-CN"/>
        </w:rPr>
        <w:t>第</w:t>
      </w:r>
      <w:r>
        <w:rPr>
          <w:rFonts w:hint="eastAsia"/>
          <w:b/>
          <w:bCs/>
          <w:spacing w:val="3"/>
          <w:lang w:val="en-US" w:eastAsia="zh-CN"/>
        </w:rPr>
        <w:t>四</w:t>
      </w:r>
      <w:r>
        <w:rPr>
          <w:b/>
          <w:bCs/>
          <w:spacing w:val="3"/>
          <w:lang w:eastAsia="zh-CN"/>
        </w:rPr>
        <w:t>条</w:t>
      </w:r>
      <w:r>
        <w:rPr>
          <w:rFonts w:hint="eastAsia"/>
          <w:b/>
          <w:bCs/>
          <w:spacing w:val="3"/>
          <w:lang w:val="en-US" w:eastAsia="zh-CN"/>
        </w:rPr>
        <w:t xml:space="preserve"> </w:t>
      </w:r>
      <w:r>
        <w:rPr>
          <w:rFonts w:hint="eastAsia" w:ascii="宋体" w:hAnsi="宋体" w:eastAsia="宋体" w:cs="宋体"/>
          <w:b/>
          <w:bCs/>
          <w:sz w:val="20"/>
          <w:szCs w:val="20"/>
          <w:lang w:eastAsia="zh-CN"/>
        </w:rPr>
        <w:t>乙方的职责及义务</w:t>
      </w:r>
    </w:p>
    <w:p w14:paraId="3C232EB3">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1.乙方为甲方提供清算通交收业务服务，应遵守上海清算所发布的清算通业务相关规则、指南。</w:t>
      </w:r>
    </w:p>
    <w:p w14:paraId="2CC34FA5">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2.甲方通过乙方系统开展清算通交收业务过程中，乙方仅对甲方的业务信息、货物信息作形式审查，确保信息得到真实、有效、完整地传递。</w:t>
      </w:r>
    </w:p>
    <w:p w14:paraId="5BD34A87">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3.甲方通过乙方开展清算通交收业务时，为确保资金清结算和货权交收一一对应，乙方应确保该业务未通过其他方式实现相应的资金结算。乙方应公示清算通交收业务相关库区地址、交收品种、收费标准等信息。</w:t>
      </w:r>
    </w:p>
    <w:p w14:paraId="53DEF1DC">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4.乙方应保障系统平稳运行，因乙方过错导致清算通交收业务对应的货权交收失败，乙方不收取该笔业务的相关费用。</w:t>
      </w:r>
    </w:p>
    <w:p w14:paraId="2AF17671">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5.乙方不参与甲方的交易对象选择、合同洽谈、货物选择等交易行为，仅为甲方提供货权交收和清算通交收业务服务。鉴于此，乙方不承担甲方的交易对象选择、合同洽谈、货物选择等交易行为相关的任何义务和责任，甲方的交易对象选择、合同洽谈、货物选择等交易行为过程中产生的任何纠纷、风险和合规问题均与乙方无关。</w:t>
      </w:r>
    </w:p>
    <w:p w14:paraId="0C5987A6">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6.乙方对甲方通过</w:t>
      </w:r>
      <w:r>
        <w:rPr>
          <w:rFonts w:hint="eastAsia" w:ascii="宋体" w:hAnsi="宋体" w:eastAsia="宋体" w:cs="宋体"/>
          <w:spacing w:val="-4"/>
          <w:sz w:val="20"/>
          <w:szCs w:val="20"/>
          <w:lang w:val="en-US" w:eastAsia="zh-CN"/>
        </w:rPr>
        <w:t>陆地港智慧仓储物流服务系统</w:t>
      </w:r>
      <w:r>
        <w:rPr>
          <w:rFonts w:hint="eastAsia" w:ascii="宋体" w:hAnsi="宋体" w:eastAsia="宋体" w:cs="宋体"/>
          <w:sz w:val="20"/>
          <w:szCs w:val="20"/>
          <w:lang w:eastAsia="zh-CN"/>
        </w:rPr>
        <w:t>办理清算通交收业务中形成的业务信息、数据承担保密义务，但法律法规、规章制度、规范性文件、监管规定、有权机关或上海清算所要求披露的除外。</w:t>
      </w:r>
    </w:p>
    <w:p w14:paraId="61B5A06D">
      <w:pPr>
        <w:pStyle w:val="3"/>
        <w:autoSpaceDE/>
        <w:autoSpaceDN/>
        <w:spacing w:line="400" w:lineRule="exact"/>
        <w:ind w:firstLine="494" w:firstLineChars="200"/>
        <w:rPr>
          <w:rFonts w:hint="eastAsia" w:ascii="宋体" w:hAnsi="宋体" w:eastAsia="宋体" w:cs="宋体"/>
          <w:b/>
          <w:bCs/>
          <w:sz w:val="20"/>
          <w:szCs w:val="20"/>
          <w:lang w:eastAsia="zh-CN"/>
        </w:rPr>
      </w:pPr>
      <w:r>
        <w:rPr>
          <w:b/>
          <w:bCs/>
          <w:spacing w:val="3"/>
          <w:lang w:eastAsia="zh-CN"/>
        </w:rPr>
        <w:t>第</w:t>
      </w:r>
      <w:r>
        <w:rPr>
          <w:rFonts w:hint="eastAsia"/>
          <w:b/>
          <w:bCs/>
          <w:spacing w:val="3"/>
          <w:lang w:val="en-US" w:eastAsia="zh-CN"/>
        </w:rPr>
        <w:t>五</w:t>
      </w:r>
      <w:r>
        <w:rPr>
          <w:b/>
          <w:bCs/>
          <w:spacing w:val="3"/>
          <w:lang w:eastAsia="zh-CN"/>
        </w:rPr>
        <w:t>条</w:t>
      </w:r>
      <w:r>
        <w:rPr>
          <w:rFonts w:hint="eastAsia"/>
          <w:b/>
          <w:bCs/>
          <w:spacing w:val="3"/>
          <w:lang w:val="en-US" w:eastAsia="zh-CN"/>
        </w:rPr>
        <w:t xml:space="preserve"> </w:t>
      </w:r>
      <w:r>
        <w:rPr>
          <w:rFonts w:hint="eastAsia" w:ascii="宋体" w:hAnsi="宋体" w:eastAsia="宋体" w:cs="宋体"/>
          <w:b/>
          <w:bCs/>
          <w:sz w:val="20"/>
          <w:szCs w:val="20"/>
          <w:lang w:eastAsia="zh-CN"/>
        </w:rPr>
        <w:t>违约</w:t>
      </w:r>
    </w:p>
    <w:p w14:paraId="0FD86D7C">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1.若甲方在使用乙方服务时违反上海清算所规则、指南等业务规则、乙方公告的业务规则和其他相关规则及本协议约定，则视为甲方违约，乙方有权限制、暂停、终止为甲方提供本协议项下</w:t>
      </w:r>
      <w:r>
        <w:rPr>
          <w:rFonts w:hint="eastAsia" w:ascii="宋体" w:hAnsi="宋体" w:eastAsia="宋体" w:cs="宋体"/>
          <w:spacing w:val="-13"/>
          <w:sz w:val="20"/>
          <w:szCs w:val="20"/>
          <w:lang w:eastAsia="zh-CN"/>
        </w:rPr>
        <w:t>清算通交收业务</w:t>
      </w:r>
      <w:r>
        <w:rPr>
          <w:rFonts w:hint="eastAsia" w:ascii="宋体" w:hAnsi="宋体" w:eastAsia="宋体" w:cs="宋体"/>
          <w:sz w:val="20"/>
          <w:szCs w:val="20"/>
          <w:lang w:eastAsia="zh-CN"/>
        </w:rPr>
        <w:t>服务和其他服务。若甲方的行为对乙方造成损失，甲方应赔偿乙方的损失。</w:t>
      </w:r>
    </w:p>
    <w:p w14:paraId="7CECF97F">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2.若乙方违反上海清算所业务规则、指南及本协议约定，则视为乙方违约，乙方应承担甲方的直接经济损失。</w:t>
      </w:r>
    </w:p>
    <w:p w14:paraId="2A2C79F8">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3.如甲方涉及的现货交易纠纷中，甲方或相关利益方将乙方</w:t>
      </w:r>
      <w:r>
        <w:rPr>
          <w:rFonts w:hint="eastAsia" w:ascii="宋体" w:hAnsi="宋体" w:eastAsia="宋体" w:cs="宋体"/>
          <w:spacing w:val="-13"/>
          <w:sz w:val="20"/>
          <w:szCs w:val="20"/>
          <w:lang w:eastAsia="zh-CN"/>
        </w:rPr>
        <w:t>或乙方关联方列为被诉方、被申请方或被控告方，由此导致乙方或乙方关联方损失的，由甲</w:t>
      </w:r>
      <w:r>
        <w:rPr>
          <w:rFonts w:hint="eastAsia" w:ascii="宋体" w:hAnsi="宋体" w:eastAsia="宋体" w:cs="宋体"/>
          <w:sz w:val="20"/>
          <w:szCs w:val="20"/>
          <w:lang w:eastAsia="zh-CN"/>
        </w:rPr>
        <w:t>方赔偿。</w:t>
      </w:r>
    </w:p>
    <w:p w14:paraId="074FEA40">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4．本协议项下损失包括但不限于守约方的直接经济损失以及为实现债权而支出的律师费、保全费、诉讼费、公证费、鉴定费、调查费等一切费用。</w:t>
      </w:r>
    </w:p>
    <w:p w14:paraId="1FDA53D9">
      <w:pPr>
        <w:pStyle w:val="3"/>
        <w:autoSpaceDE/>
        <w:autoSpaceDN/>
        <w:spacing w:line="400" w:lineRule="exact"/>
        <w:ind w:firstLine="494" w:firstLineChars="200"/>
        <w:rPr>
          <w:rFonts w:hint="eastAsia" w:ascii="宋体" w:hAnsi="宋体" w:eastAsia="宋体" w:cs="宋体"/>
          <w:b/>
          <w:bCs/>
          <w:sz w:val="20"/>
          <w:szCs w:val="20"/>
          <w:lang w:eastAsia="zh-CN"/>
        </w:rPr>
      </w:pPr>
      <w:r>
        <w:rPr>
          <w:b/>
          <w:bCs/>
          <w:spacing w:val="3"/>
          <w:lang w:eastAsia="zh-CN"/>
        </w:rPr>
        <w:t>第</w:t>
      </w:r>
      <w:r>
        <w:rPr>
          <w:rFonts w:hint="eastAsia"/>
          <w:b/>
          <w:bCs/>
          <w:spacing w:val="3"/>
          <w:lang w:val="en-US" w:eastAsia="zh-CN"/>
        </w:rPr>
        <w:t>六</w:t>
      </w:r>
      <w:r>
        <w:rPr>
          <w:b/>
          <w:bCs/>
          <w:spacing w:val="3"/>
          <w:lang w:eastAsia="zh-CN"/>
        </w:rPr>
        <w:t>条</w:t>
      </w:r>
      <w:r>
        <w:rPr>
          <w:rFonts w:hint="eastAsia"/>
          <w:b/>
          <w:bCs/>
          <w:spacing w:val="3"/>
          <w:lang w:val="en-US" w:eastAsia="zh-CN"/>
        </w:rPr>
        <w:t xml:space="preserve"> </w:t>
      </w:r>
      <w:r>
        <w:rPr>
          <w:rFonts w:hint="eastAsia" w:ascii="宋体" w:hAnsi="宋体" w:eastAsia="宋体" w:cs="宋体"/>
          <w:b/>
          <w:bCs/>
          <w:sz w:val="20"/>
          <w:szCs w:val="20"/>
          <w:lang w:eastAsia="zh-CN"/>
        </w:rPr>
        <w:t>协议的生效、变更、终止</w:t>
      </w:r>
    </w:p>
    <w:p w14:paraId="15CF60F6">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1.本协议自双方签字盖章之日起生效。</w:t>
      </w:r>
    </w:p>
    <w:p w14:paraId="4FC76886">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2.任意一方需变更或终止合作，应提前书面通知对方，并经双方协商一致后方可变更或终止。</w:t>
      </w:r>
    </w:p>
    <w:p w14:paraId="3001CE7F">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3.任何一方违约，守约方有权单方终止本协议。</w:t>
      </w:r>
    </w:p>
    <w:p w14:paraId="505BB49A">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4.上海清算所业务规则与指南变更事项生效前甲方停止使用并明确表示不愿接受变更事项的，视为协议终止。</w:t>
      </w:r>
    </w:p>
    <w:p w14:paraId="692C694F">
      <w:pPr>
        <w:pStyle w:val="3"/>
        <w:autoSpaceDE/>
        <w:autoSpaceDN/>
        <w:spacing w:line="400" w:lineRule="exact"/>
        <w:ind w:firstLine="494" w:firstLineChars="200"/>
        <w:rPr>
          <w:rFonts w:hint="eastAsia" w:ascii="宋体" w:hAnsi="宋体" w:eastAsia="宋体" w:cs="宋体"/>
          <w:sz w:val="20"/>
          <w:szCs w:val="20"/>
          <w:lang w:eastAsia="zh-CN"/>
        </w:rPr>
      </w:pPr>
      <w:r>
        <w:rPr>
          <w:b/>
          <w:bCs/>
          <w:spacing w:val="3"/>
          <w:lang w:eastAsia="zh-CN"/>
        </w:rPr>
        <w:t>第</w:t>
      </w:r>
      <w:r>
        <w:rPr>
          <w:rFonts w:hint="eastAsia"/>
          <w:b/>
          <w:bCs/>
          <w:spacing w:val="3"/>
          <w:lang w:val="en-US" w:eastAsia="zh-CN"/>
        </w:rPr>
        <w:t>七</w:t>
      </w:r>
      <w:r>
        <w:rPr>
          <w:b/>
          <w:bCs/>
          <w:spacing w:val="3"/>
          <w:lang w:eastAsia="zh-CN"/>
        </w:rPr>
        <w:t>条</w:t>
      </w:r>
      <w:r>
        <w:rPr>
          <w:rFonts w:hint="eastAsia"/>
          <w:b/>
          <w:bCs/>
          <w:spacing w:val="3"/>
          <w:lang w:val="en-US" w:eastAsia="zh-CN"/>
        </w:rPr>
        <w:t xml:space="preserve"> </w:t>
      </w:r>
      <w:r>
        <w:rPr>
          <w:rFonts w:hint="eastAsia" w:ascii="宋体" w:hAnsi="宋体" w:eastAsia="宋体" w:cs="宋体"/>
          <w:b/>
          <w:bCs/>
          <w:sz w:val="20"/>
          <w:szCs w:val="20"/>
          <w:lang w:eastAsia="zh-CN"/>
        </w:rPr>
        <w:t>其他事宜</w:t>
      </w:r>
    </w:p>
    <w:p w14:paraId="67D0F515">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1. 本协议中所称“交收”与其他协议及其他合作方使用的“交割”同义。</w:t>
      </w:r>
    </w:p>
    <w:p w14:paraId="56570A5C">
      <w:pPr>
        <w:pStyle w:val="3"/>
        <w:autoSpaceDE/>
        <w:autoSpaceDN/>
        <w:spacing w:line="4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（以下无正文）</w:t>
      </w:r>
    </w:p>
    <w:p w14:paraId="64353C31">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p>
    <w:p w14:paraId="69531CA8">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甲方：（盖章）</w:t>
      </w:r>
      <w:permStart w:id="5" w:edGrp="everyone"/>
    </w:p>
    <w:permEnd w:id="5"/>
    <w:p w14:paraId="347F58B6">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法定代表人</w:t>
      </w:r>
      <w:permStart w:id="6" w:edGrp="everyone"/>
    </w:p>
    <w:permEnd w:id="6"/>
    <w:p w14:paraId="147B0561">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（或委托代理人）（签字或盖章）</w:t>
      </w:r>
      <w:permStart w:id="7" w:edGrp="everyone"/>
    </w:p>
    <w:permEnd w:id="7"/>
    <w:p w14:paraId="4E8A03BF">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p>
    <w:p w14:paraId="1FBEA85B">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p>
    <w:p w14:paraId="704D6919">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p>
    <w:p w14:paraId="64C5CD34">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乙方：</w:t>
      </w:r>
      <w:r>
        <w:rPr>
          <w:rFonts w:hint="eastAsia" w:ascii="宋体" w:hAnsi="宋体" w:eastAsia="宋体" w:cs="宋体"/>
          <w:b/>
          <w:bCs/>
          <w:color w:val="000000" w:themeColor="text1"/>
          <w:spacing w:val="3"/>
          <w:sz w:val="20"/>
          <w:szCs w:val="20"/>
          <w:u w:val="single"/>
          <w:lang w:eastAsia="zh-CN"/>
          <w14:textFill>
            <w14:solidFill>
              <w14:schemeClr w14:val="tx1"/>
            </w14:solidFill>
          </w14:textFill>
        </w:rPr>
        <w:t>福建省正港仓储物流有限公司</w:t>
      </w:r>
    </w:p>
    <w:p w14:paraId="135E3E1A">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法定代表人</w:t>
      </w:r>
    </w:p>
    <w:p w14:paraId="218128BD">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（或委托代理人）（签字或盖章）</w:t>
      </w:r>
    </w:p>
    <w:p w14:paraId="7304A476">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p>
    <w:p w14:paraId="14263FDA">
      <w:pPr>
        <w:pStyle w:val="3"/>
        <w:autoSpaceDE/>
        <w:autoSpaceDN/>
        <w:spacing w:line="400" w:lineRule="exact"/>
        <w:ind w:firstLine="400" w:firstLineChars="200"/>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签约时间：</w:t>
      </w:r>
      <w:permStart w:id="8" w:edGrp="everyone"/>
      <w:r>
        <w:rPr>
          <w:rFonts w:hint="eastAsia" w:ascii="宋体" w:hAnsi="宋体" w:eastAsia="宋体" w:cs="宋体"/>
          <w:color w:val="000000" w:themeColor="text1"/>
          <w:sz w:val="20"/>
          <w:szCs w:val="20"/>
          <w:lang w:val="en-US" w:eastAsia="zh-CN"/>
          <w14:textFill>
            <w14:solidFill>
              <w14:schemeClr w14:val="tx1"/>
            </w14:solidFill>
          </w14:textFill>
        </w:rPr>
        <w:t xml:space="preserve">   </w:t>
      </w:r>
      <w:permEnd w:id="8"/>
      <w:r>
        <w:rPr>
          <w:rFonts w:hint="eastAsia" w:ascii="宋体" w:hAnsi="宋体" w:eastAsia="宋体" w:cs="宋体"/>
          <w:color w:val="000000" w:themeColor="text1"/>
          <w:sz w:val="20"/>
          <w:szCs w:val="20"/>
          <w:lang w:eastAsia="zh-CN"/>
          <w14:textFill>
            <w14:solidFill>
              <w14:schemeClr w14:val="tx1"/>
            </w14:solidFill>
          </w14:textFill>
        </w:rPr>
        <w:t>年</w:t>
      </w:r>
      <w:r>
        <w:rPr>
          <w:rFonts w:hint="eastAsia" w:ascii="宋体" w:hAnsi="宋体" w:eastAsia="宋体" w:cs="宋体"/>
          <w:color w:val="000000" w:themeColor="text1"/>
          <w:sz w:val="20"/>
          <w:szCs w:val="20"/>
          <w:lang w:val="en-US" w:eastAsia="zh-CN"/>
          <w14:textFill>
            <w14:solidFill>
              <w14:schemeClr w14:val="tx1"/>
            </w14:solidFill>
          </w14:textFill>
        </w:rPr>
        <w:t xml:space="preserve"> </w:t>
      </w:r>
      <w:permStart w:id="9" w:edGrp="everyone"/>
      <w:r>
        <w:rPr>
          <w:rFonts w:hint="eastAsia" w:ascii="宋体" w:hAnsi="宋体" w:eastAsia="宋体" w:cs="宋体"/>
          <w:color w:val="000000" w:themeColor="text1"/>
          <w:sz w:val="20"/>
          <w:szCs w:val="20"/>
          <w:lang w:val="en-US" w:eastAsia="zh-CN"/>
          <w14:textFill>
            <w14:solidFill>
              <w14:schemeClr w14:val="tx1"/>
            </w14:solidFill>
          </w14:textFill>
        </w:rPr>
        <w:t xml:space="preserve">   </w:t>
      </w:r>
      <w:permEnd w:id="9"/>
      <w:r>
        <w:rPr>
          <w:rFonts w:hint="eastAsia" w:ascii="宋体" w:hAnsi="宋体" w:eastAsia="宋体" w:cs="宋体"/>
          <w:color w:val="000000" w:themeColor="text1"/>
          <w:sz w:val="20"/>
          <w:szCs w:val="20"/>
          <w:lang w:eastAsia="zh-CN"/>
          <w14:textFill>
            <w14:solidFill>
              <w14:schemeClr w14:val="tx1"/>
            </w14:solidFill>
          </w14:textFill>
        </w:rPr>
        <w:t>月</w:t>
      </w:r>
      <w:permStart w:id="10" w:edGrp="everyone"/>
      <w:r>
        <w:rPr>
          <w:rFonts w:hint="eastAsia" w:ascii="宋体" w:hAnsi="宋体" w:eastAsia="宋体" w:cs="宋体"/>
          <w:color w:val="000000" w:themeColor="text1"/>
          <w:sz w:val="20"/>
          <w:szCs w:val="20"/>
          <w:lang w:val="en-US" w:eastAsia="zh-CN"/>
          <w14:textFill>
            <w14:solidFill>
              <w14:schemeClr w14:val="tx1"/>
            </w14:solidFill>
          </w14:textFill>
        </w:rPr>
        <w:t xml:space="preserve">   </w:t>
      </w:r>
      <w:permEnd w:id="10"/>
      <w:r>
        <w:rPr>
          <w:rFonts w:hint="eastAsia" w:ascii="宋体" w:hAnsi="宋体" w:eastAsia="宋体" w:cs="宋体"/>
          <w:color w:val="000000" w:themeColor="text1"/>
          <w:sz w:val="20"/>
          <w:szCs w:val="20"/>
          <w:lang w:eastAsia="zh-CN"/>
          <w14:textFill>
            <w14:solidFill>
              <w14:schemeClr w14:val="tx1"/>
            </w14:solidFill>
          </w14:textFill>
        </w:rPr>
        <w:t>日</w:t>
      </w:r>
    </w:p>
    <w:sectPr>
      <w:headerReference r:id="rId3" w:type="default"/>
      <w:footerReference r:id="rId4" w:type="default"/>
      <w:pgSz w:w="11907" w:h="16839"/>
      <w:pgMar w:top="1178" w:right="1387" w:bottom="1307" w:left="1445" w:header="1417"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73929BA4">
        <w:pPr>
          <w:pStyle w:val="5"/>
          <w:jc w:val="center"/>
        </w:pPr>
        <w:r>
          <w:fldChar w:fldCharType="begin"/>
        </w:r>
        <w:r>
          <w:instrText xml:space="preserve">PAGE   \* MERGEFORMAT</w:instrText>
        </w:r>
        <w:r>
          <w:fldChar w:fldCharType="separate"/>
        </w:r>
        <w:r>
          <w:rPr>
            <w:lang w:val="zh-CN" w:eastAsia="zh-CN"/>
          </w:rPr>
          <w:t>4</w:t>
        </w:r>
        <w:r>
          <w:fldChar w:fldCharType="end"/>
        </w:r>
      </w:p>
    </w:sdtContent>
  </w:sdt>
  <w:p w14:paraId="5A69E69A">
    <w:pPr>
      <w:spacing w:line="234" w:lineRule="auto"/>
      <w:ind w:left="4385"/>
      <w:rPr>
        <w:rFonts w:ascii="等线" w:hAnsi="等线" w:eastAsia="等线" w:cs="等线"/>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5E477">
    <w:pPr>
      <w:pStyle w:val="6"/>
      <w:jc w:val="left"/>
    </w:pPr>
    <w:r>
      <w:drawing>
        <wp:inline distT="0" distB="0" distL="114300" distR="114300">
          <wp:extent cx="2624455" cy="44767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stretch>
                    <a:fillRect/>
                  </a:stretch>
                </pic:blipFill>
                <pic:spPr>
                  <a:xfrm>
                    <a:off x="0" y="0"/>
                    <a:ext cx="2624455" cy="4476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dit="readOnly" w:formatting="1" w:enforcement="1" w:cryptProviderType="rsaFull" w:cryptAlgorithmClass="hash" w:cryptAlgorithmType="typeAny" w:cryptAlgorithmSid="4" w:cryptSpinCount="0" w:hash="nxdmYu8E0vVc5kooSIKl5BX97z4=" w:salt="fb1EOueQSP2ebhPs3X+zzA=="/>
  <w:defaultTabStop w:val="420"/>
  <w:displayHorizontalDrawingGridEvery w:val="0"/>
  <w:displayVerticalDrawingGridEvery w:val="2"/>
  <w:characterSpacingControl w:val="doNotCompress"/>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DFC"/>
    <w:rsid w:val="0002470F"/>
    <w:rsid w:val="000338CE"/>
    <w:rsid w:val="00042B4B"/>
    <w:rsid w:val="00042FC4"/>
    <w:rsid w:val="000713F9"/>
    <w:rsid w:val="000A64DF"/>
    <w:rsid w:val="000B6AD9"/>
    <w:rsid w:val="000B70F6"/>
    <w:rsid w:val="000D0B98"/>
    <w:rsid w:val="000D5A67"/>
    <w:rsid w:val="000E002D"/>
    <w:rsid w:val="000E6B87"/>
    <w:rsid w:val="00107362"/>
    <w:rsid w:val="001254EE"/>
    <w:rsid w:val="0013022A"/>
    <w:rsid w:val="00132E1C"/>
    <w:rsid w:val="0016058B"/>
    <w:rsid w:val="0016062F"/>
    <w:rsid w:val="00175C8C"/>
    <w:rsid w:val="001864A6"/>
    <w:rsid w:val="001A39FE"/>
    <w:rsid w:val="001B3F2A"/>
    <w:rsid w:val="001C6A73"/>
    <w:rsid w:val="001F0553"/>
    <w:rsid w:val="001F5CC3"/>
    <w:rsid w:val="00202D8E"/>
    <w:rsid w:val="00223902"/>
    <w:rsid w:val="00244075"/>
    <w:rsid w:val="00262883"/>
    <w:rsid w:val="00267429"/>
    <w:rsid w:val="002768B1"/>
    <w:rsid w:val="002779E9"/>
    <w:rsid w:val="00282129"/>
    <w:rsid w:val="002930FC"/>
    <w:rsid w:val="002A221E"/>
    <w:rsid w:val="002B105E"/>
    <w:rsid w:val="002B2FEA"/>
    <w:rsid w:val="002B68C8"/>
    <w:rsid w:val="002E46FC"/>
    <w:rsid w:val="002F6C83"/>
    <w:rsid w:val="0030084C"/>
    <w:rsid w:val="00301EF6"/>
    <w:rsid w:val="00307EE7"/>
    <w:rsid w:val="0032335D"/>
    <w:rsid w:val="0032542F"/>
    <w:rsid w:val="00343FC2"/>
    <w:rsid w:val="003665CC"/>
    <w:rsid w:val="00381CF3"/>
    <w:rsid w:val="00385538"/>
    <w:rsid w:val="00390674"/>
    <w:rsid w:val="00391493"/>
    <w:rsid w:val="0039677B"/>
    <w:rsid w:val="003A2F0F"/>
    <w:rsid w:val="003C366F"/>
    <w:rsid w:val="003E6BE7"/>
    <w:rsid w:val="003F3F51"/>
    <w:rsid w:val="003F4341"/>
    <w:rsid w:val="00421892"/>
    <w:rsid w:val="00426CA5"/>
    <w:rsid w:val="0044311A"/>
    <w:rsid w:val="00453134"/>
    <w:rsid w:val="0045585C"/>
    <w:rsid w:val="00465564"/>
    <w:rsid w:val="004771BA"/>
    <w:rsid w:val="0048181D"/>
    <w:rsid w:val="00493FB3"/>
    <w:rsid w:val="004A69A4"/>
    <w:rsid w:val="004B57D7"/>
    <w:rsid w:val="004C5BE9"/>
    <w:rsid w:val="004D57DA"/>
    <w:rsid w:val="004E09BA"/>
    <w:rsid w:val="004E1F85"/>
    <w:rsid w:val="005120BF"/>
    <w:rsid w:val="0051523B"/>
    <w:rsid w:val="0051732B"/>
    <w:rsid w:val="0052234F"/>
    <w:rsid w:val="0052731F"/>
    <w:rsid w:val="005278D4"/>
    <w:rsid w:val="00534AAF"/>
    <w:rsid w:val="005474F2"/>
    <w:rsid w:val="005549DA"/>
    <w:rsid w:val="00565970"/>
    <w:rsid w:val="00565F90"/>
    <w:rsid w:val="005B0421"/>
    <w:rsid w:val="005C41B0"/>
    <w:rsid w:val="005D7D45"/>
    <w:rsid w:val="005E5DBE"/>
    <w:rsid w:val="005E750F"/>
    <w:rsid w:val="005E7799"/>
    <w:rsid w:val="00601B35"/>
    <w:rsid w:val="006101DB"/>
    <w:rsid w:val="006132B2"/>
    <w:rsid w:val="0061652D"/>
    <w:rsid w:val="006218CD"/>
    <w:rsid w:val="00631860"/>
    <w:rsid w:val="00644F2C"/>
    <w:rsid w:val="0064622A"/>
    <w:rsid w:val="0066554B"/>
    <w:rsid w:val="00691776"/>
    <w:rsid w:val="00691E18"/>
    <w:rsid w:val="006A0A0E"/>
    <w:rsid w:val="006A3F98"/>
    <w:rsid w:val="006B2C54"/>
    <w:rsid w:val="006B3CA0"/>
    <w:rsid w:val="006E688B"/>
    <w:rsid w:val="006F00D1"/>
    <w:rsid w:val="006F1855"/>
    <w:rsid w:val="007015C5"/>
    <w:rsid w:val="00706583"/>
    <w:rsid w:val="00735189"/>
    <w:rsid w:val="0073664E"/>
    <w:rsid w:val="00736E46"/>
    <w:rsid w:val="0073705C"/>
    <w:rsid w:val="007449B4"/>
    <w:rsid w:val="007462F9"/>
    <w:rsid w:val="00770A4F"/>
    <w:rsid w:val="007720F0"/>
    <w:rsid w:val="007807B5"/>
    <w:rsid w:val="0079181F"/>
    <w:rsid w:val="007C3B4E"/>
    <w:rsid w:val="007D48EE"/>
    <w:rsid w:val="007E3CF2"/>
    <w:rsid w:val="00800306"/>
    <w:rsid w:val="008120E4"/>
    <w:rsid w:val="00820971"/>
    <w:rsid w:val="008323D7"/>
    <w:rsid w:val="008474B3"/>
    <w:rsid w:val="008501B7"/>
    <w:rsid w:val="00851BA1"/>
    <w:rsid w:val="00872A15"/>
    <w:rsid w:val="0088605C"/>
    <w:rsid w:val="00892A4F"/>
    <w:rsid w:val="008A775F"/>
    <w:rsid w:val="008B0408"/>
    <w:rsid w:val="008C5B91"/>
    <w:rsid w:val="008C5F7D"/>
    <w:rsid w:val="008C774B"/>
    <w:rsid w:val="008D4DFC"/>
    <w:rsid w:val="008E5F6B"/>
    <w:rsid w:val="008F3126"/>
    <w:rsid w:val="008F7D8E"/>
    <w:rsid w:val="00910282"/>
    <w:rsid w:val="00916B93"/>
    <w:rsid w:val="009201F3"/>
    <w:rsid w:val="0092779D"/>
    <w:rsid w:val="009279D2"/>
    <w:rsid w:val="00927D5E"/>
    <w:rsid w:val="00935C0C"/>
    <w:rsid w:val="00936FCC"/>
    <w:rsid w:val="00967CAD"/>
    <w:rsid w:val="00992E89"/>
    <w:rsid w:val="00994E4B"/>
    <w:rsid w:val="009A3030"/>
    <w:rsid w:val="009A4D61"/>
    <w:rsid w:val="009B0D1A"/>
    <w:rsid w:val="009C67D5"/>
    <w:rsid w:val="009E3434"/>
    <w:rsid w:val="009F3D92"/>
    <w:rsid w:val="00A062A9"/>
    <w:rsid w:val="00A11D70"/>
    <w:rsid w:val="00A1694F"/>
    <w:rsid w:val="00A2703E"/>
    <w:rsid w:val="00A31C56"/>
    <w:rsid w:val="00A37821"/>
    <w:rsid w:val="00A518D0"/>
    <w:rsid w:val="00A542E8"/>
    <w:rsid w:val="00A55720"/>
    <w:rsid w:val="00A576BD"/>
    <w:rsid w:val="00A60589"/>
    <w:rsid w:val="00A725EB"/>
    <w:rsid w:val="00A807E7"/>
    <w:rsid w:val="00A94135"/>
    <w:rsid w:val="00AA755F"/>
    <w:rsid w:val="00AB54E1"/>
    <w:rsid w:val="00AC18C0"/>
    <w:rsid w:val="00AD6B27"/>
    <w:rsid w:val="00AE078E"/>
    <w:rsid w:val="00AE4EBF"/>
    <w:rsid w:val="00AE64CA"/>
    <w:rsid w:val="00AE6A83"/>
    <w:rsid w:val="00B02CF1"/>
    <w:rsid w:val="00B11937"/>
    <w:rsid w:val="00B1573A"/>
    <w:rsid w:val="00B201B3"/>
    <w:rsid w:val="00B25872"/>
    <w:rsid w:val="00B31DEB"/>
    <w:rsid w:val="00B47FC0"/>
    <w:rsid w:val="00B53E55"/>
    <w:rsid w:val="00B67123"/>
    <w:rsid w:val="00B91D5D"/>
    <w:rsid w:val="00B94BCA"/>
    <w:rsid w:val="00B96947"/>
    <w:rsid w:val="00BA395B"/>
    <w:rsid w:val="00BA7A16"/>
    <w:rsid w:val="00BB34F1"/>
    <w:rsid w:val="00BB6C03"/>
    <w:rsid w:val="00C07B0F"/>
    <w:rsid w:val="00C126F3"/>
    <w:rsid w:val="00C4742B"/>
    <w:rsid w:val="00C55D7F"/>
    <w:rsid w:val="00C629DC"/>
    <w:rsid w:val="00C65DD2"/>
    <w:rsid w:val="00C7334F"/>
    <w:rsid w:val="00C750FC"/>
    <w:rsid w:val="00C75B0F"/>
    <w:rsid w:val="00C815D5"/>
    <w:rsid w:val="00CC04AB"/>
    <w:rsid w:val="00CC73FE"/>
    <w:rsid w:val="00CE30CD"/>
    <w:rsid w:val="00CE39DE"/>
    <w:rsid w:val="00D045BC"/>
    <w:rsid w:val="00D05925"/>
    <w:rsid w:val="00D06930"/>
    <w:rsid w:val="00D20866"/>
    <w:rsid w:val="00D31CF1"/>
    <w:rsid w:val="00D434B0"/>
    <w:rsid w:val="00D554E9"/>
    <w:rsid w:val="00D61EF7"/>
    <w:rsid w:val="00D85F37"/>
    <w:rsid w:val="00D86467"/>
    <w:rsid w:val="00DA5EA2"/>
    <w:rsid w:val="00DB7770"/>
    <w:rsid w:val="00DC78ED"/>
    <w:rsid w:val="00DD6004"/>
    <w:rsid w:val="00DE1CC2"/>
    <w:rsid w:val="00DE7026"/>
    <w:rsid w:val="00E06892"/>
    <w:rsid w:val="00E13D13"/>
    <w:rsid w:val="00E16FC6"/>
    <w:rsid w:val="00E311EE"/>
    <w:rsid w:val="00E52BEA"/>
    <w:rsid w:val="00E64F86"/>
    <w:rsid w:val="00E84478"/>
    <w:rsid w:val="00EA025E"/>
    <w:rsid w:val="00EA533E"/>
    <w:rsid w:val="00EA5DAB"/>
    <w:rsid w:val="00ED05F9"/>
    <w:rsid w:val="00F04607"/>
    <w:rsid w:val="00F05560"/>
    <w:rsid w:val="00F061A5"/>
    <w:rsid w:val="00F13E57"/>
    <w:rsid w:val="00F16958"/>
    <w:rsid w:val="00F22950"/>
    <w:rsid w:val="00F27A67"/>
    <w:rsid w:val="00F307A4"/>
    <w:rsid w:val="00F44D0A"/>
    <w:rsid w:val="00F77E8A"/>
    <w:rsid w:val="00F80797"/>
    <w:rsid w:val="00F92256"/>
    <w:rsid w:val="00FF0E53"/>
    <w:rsid w:val="00FF5B00"/>
    <w:rsid w:val="00FF71EE"/>
    <w:rsid w:val="17240306"/>
    <w:rsid w:val="1ACD0F27"/>
    <w:rsid w:val="276F4A98"/>
    <w:rsid w:val="294447CD"/>
    <w:rsid w:val="2A0A0198"/>
    <w:rsid w:val="2A365850"/>
    <w:rsid w:val="3194720A"/>
    <w:rsid w:val="342C42E1"/>
    <w:rsid w:val="36402C63"/>
    <w:rsid w:val="447711A6"/>
    <w:rsid w:val="49665227"/>
    <w:rsid w:val="50AE30D9"/>
    <w:rsid w:val="598F5F95"/>
    <w:rsid w:val="5ED370DF"/>
    <w:rsid w:val="6349162C"/>
    <w:rsid w:val="763B21B6"/>
    <w:rsid w:val="FFCD8E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style>
  <w:style w:type="paragraph" w:styleId="3">
    <w:name w:val="Body Text"/>
    <w:basedOn w:val="1"/>
    <w:semiHidden/>
    <w:qFormat/>
    <w:uiPriority w:val="0"/>
    <w:rPr>
      <w:rFonts w:ascii="仿宋" w:hAnsi="仿宋" w:eastAsia="仿宋" w:cs="仿宋"/>
      <w:sz w:val="24"/>
      <w:szCs w:val="24"/>
    </w:rPr>
  </w:style>
  <w:style w:type="paragraph" w:styleId="4">
    <w:name w:val="Balloon Text"/>
    <w:basedOn w:val="1"/>
    <w:link w:val="17"/>
    <w:qFormat/>
    <w:uiPriority w:val="0"/>
    <w:rPr>
      <w:sz w:val="18"/>
      <w:szCs w:val="18"/>
    </w:rPr>
  </w:style>
  <w:style w:type="paragraph" w:styleId="5">
    <w:name w:val="footer"/>
    <w:basedOn w:val="1"/>
    <w:link w:val="14"/>
    <w:qFormat/>
    <w:uiPriority w:val="99"/>
    <w:pPr>
      <w:tabs>
        <w:tab w:val="center" w:pos="4153"/>
        <w:tab w:val="right" w:pos="8306"/>
      </w:tabs>
    </w:pPr>
    <w:rPr>
      <w:sz w:val="18"/>
      <w:szCs w:val="18"/>
    </w:rPr>
  </w:style>
  <w:style w:type="paragraph" w:styleId="6">
    <w:name w:val="header"/>
    <w:basedOn w:val="1"/>
    <w:link w:val="13"/>
    <w:qFormat/>
    <w:uiPriority w:val="0"/>
    <w:pPr>
      <w:pBdr>
        <w:bottom w:val="single" w:color="auto" w:sz="6" w:space="1"/>
      </w:pBdr>
      <w:tabs>
        <w:tab w:val="center" w:pos="4153"/>
        <w:tab w:val="right" w:pos="8306"/>
      </w:tabs>
      <w:jc w:val="center"/>
    </w:pPr>
    <w:rPr>
      <w:sz w:val="18"/>
      <w:szCs w:val="18"/>
    </w:rPr>
  </w:style>
  <w:style w:type="paragraph" w:styleId="7">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8">
    <w:name w:val="annotation subject"/>
    <w:basedOn w:val="2"/>
    <w:next w:val="2"/>
    <w:link w:val="16"/>
    <w:qFormat/>
    <w:uiPriority w:val="0"/>
    <w:rPr>
      <w:b/>
      <w:bCs/>
    </w:rPr>
  </w:style>
  <w:style w:type="character" w:styleId="11">
    <w:name w:val="annotation reference"/>
    <w:basedOn w:val="10"/>
    <w:qFormat/>
    <w:uiPriority w:val="0"/>
    <w:rPr>
      <w:sz w:val="21"/>
      <w:szCs w:val="21"/>
    </w:rPr>
  </w:style>
  <w:style w:type="table" w:customStyle="1" w:styleId="12">
    <w:name w:val="Table Normal"/>
    <w:semiHidden/>
    <w:unhideWhenUsed/>
    <w:qFormat/>
    <w:uiPriority w:val="0"/>
    <w:tblPr>
      <w:tblCellMar>
        <w:top w:w="0" w:type="dxa"/>
        <w:left w:w="0" w:type="dxa"/>
        <w:bottom w:w="0" w:type="dxa"/>
        <w:right w:w="0" w:type="dxa"/>
      </w:tblCellMar>
    </w:tblPr>
  </w:style>
  <w:style w:type="character" w:customStyle="1" w:styleId="13">
    <w:name w:val="页眉 字符"/>
    <w:basedOn w:val="10"/>
    <w:link w:val="6"/>
    <w:qFormat/>
    <w:uiPriority w:val="0"/>
    <w:rPr>
      <w:rFonts w:ascii="Arial" w:hAnsi="Arial" w:eastAsia="Arial" w:cs="Arial"/>
      <w:snapToGrid w:val="0"/>
      <w:color w:val="000000"/>
      <w:sz w:val="18"/>
      <w:szCs w:val="18"/>
      <w:lang w:eastAsia="en-US"/>
    </w:rPr>
  </w:style>
  <w:style w:type="character" w:customStyle="1" w:styleId="14">
    <w:name w:val="页脚 字符"/>
    <w:basedOn w:val="10"/>
    <w:link w:val="5"/>
    <w:qFormat/>
    <w:uiPriority w:val="99"/>
    <w:rPr>
      <w:rFonts w:ascii="Arial" w:hAnsi="Arial" w:eastAsia="Arial" w:cs="Arial"/>
      <w:snapToGrid w:val="0"/>
      <w:color w:val="000000"/>
      <w:sz w:val="18"/>
      <w:szCs w:val="18"/>
      <w:lang w:eastAsia="en-US"/>
    </w:rPr>
  </w:style>
  <w:style w:type="character" w:customStyle="1" w:styleId="15">
    <w:name w:val="批注文字 字符"/>
    <w:basedOn w:val="10"/>
    <w:link w:val="2"/>
    <w:qFormat/>
    <w:uiPriority w:val="0"/>
    <w:rPr>
      <w:rFonts w:ascii="Arial" w:hAnsi="Arial" w:eastAsia="Arial" w:cs="Arial"/>
      <w:snapToGrid w:val="0"/>
      <w:color w:val="000000"/>
      <w:sz w:val="21"/>
      <w:szCs w:val="21"/>
      <w:lang w:eastAsia="en-US"/>
    </w:rPr>
  </w:style>
  <w:style w:type="character" w:customStyle="1" w:styleId="16">
    <w:name w:val="批注主题 字符"/>
    <w:basedOn w:val="15"/>
    <w:link w:val="8"/>
    <w:qFormat/>
    <w:uiPriority w:val="0"/>
    <w:rPr>
      <w:rFonts w:ascii="Arial" w:hAnsi="Arial" w:eastAsia="Arial" w:cs="Arial"/>
      <w:b/>
      <w:bCs/>
      <w:snapToGrid w:val="0"/>
      <w:color w:val="000000"/>
      <w:sz w:val="21"/>
      <w:szCs w:val="21"/>
      <w:lang w:eastAsia="en-US"/>
    </w:rPr>
  </w:style>
  <w:style w:type="character" w:customStyle="1" w:styleId="17">
    <w:name w:val="批注框文本 字符"/>
    <w:basedOn w:val="10"/>
    <w:link w:val="4"/>
    <w:qFormat/>
    <w:uiPriority w:val="0"/>
    <w:rPr>
      <w:rFonts w:ascii="Arial" w:hAnsi="Arial" w:eastAsia="Arial" w:cs="Arial"/>
      <w:snapToGrid w:val="0"/>
      <w:color w:val="000000"/>
      <w:sz w:val="18"/>
      <w:szCs w:val="18"/>
      <w:lang w:eastAsia="en-US"/>
    </w:rPr>
  </w:style>
  <w:style w:type="paragraph" w:customStyle="1" w:styleId="18">
    <w:name w:val="修订1"/>
    <w:hidden/>
    <w:semiHidden/>
    <w:qFormat/>
    <w:uiPriority w:val="99"/>
    <w:rPr>
      <w:rFonts w:ascii="Arial" w:hAnsi="Arial" w:eastAsia="Arial" w:cs="Arial"/>
      <w:snapToGrid w:val="0"/>
      <w:color w:val="000000"/>
      <w:sz w:val="21"/>
      <w:szCs w:val="21"/>
      <w:lang w:val="en-US" w:eastAsia="en-US" w:bidi="ar-SA"/>
    </w:rPr>
  </w:style>
  <w:style w:type="paragraph" w:customStyle="1" w:styleId="19">
    <w:name w:val="修订2"/>
    <w:hidden/>
    <w:unhideWhenUsed/>
    <w:qFormat/>
    <w:uiPriority w:val="99"/>
    <w:rPr>
      <w:rFonts w:ascii="Arial" w:hAnsi="Arial" w:eastAsia="Arial" w:cs="Arial"/>
      <w:snapToGrid w:val="0"/>
      <w:color w:val="000000"/>
      <w:sz w:val="21"/>
      <w:szCs w:val="21"/>
      <w:lang w:val="en-US" w:eastAsia="en-US" w:bidi="ar-SA"/>
    </w:rPr>
  </w:style>
  <w:style w:type="paragraph" w:customStyle="1" w:styleId="20">
    <w:name w:val="Revision"/>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3203</Words>
  <Characters>3272</Characters>
  <Lines>25</Lines>
  <Paragraphs>7</Paragraphs>
  <TotalTime>1</TotalTime>
  <ScaleCrop>false</ScaleCrop>
  <LinksUpToDate>false</LinksUpToDate>
  <CharactersWithSpaces>3338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2025-07-29T10:54:00Z</dcterms:created>
  <dc:creator>shd</dc:creator>
  <cp:lastModifiedBy>wu</cp:lastModifiedBy>
  <cp:lastPrinted>2025-02-20T14:42:00Z</cp:lastPrinted>
  <dcterms:modified xsi:type="dcterms:W3CDTF">2025-09-28T06:33:43Z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2025-02-07T10:32:35Z</vt:filetime>
  </property>
  <property fmtid="{D5CDD505-2E9C-101B-9397-08002B2CF9AE}" pid="4" name="KSOTemplateDocerSaveRecord">
    <vt:lpwstr>eyJoZGlkIjoiNGE2OWNlNDJhOWQ0ZmY3MGQ2ZjkxNGE4ZmZlMWIxNDciLCJ1c2VySWQiOiI0NzgyOTQ1NjYifQ==</vt:lpwstr>
  </property>
  <property fmtid="{D5CDD505-2E9C-101B-9397-08002B2CF9AE}" pid="5" name="KSOProductBuildVer">
    <vt:lpwstr>2052-12.1.0.22529</vt:lpwstr>
  </property>
  <property fmtid="{D5CDD505-2E9C-101B-9397-08002B2CF9AE}" pid="6" name="ICV">
    <vt:lpwstr>5D595E966E5D44C2A0C73E26491075E7_13</vt:lpwstr>
  </property>
</Properties>
</file>