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798011">
      <w:pPr>
        <w:spacing w:before="91" w:line="229" w:lineRule="auto"/>
        <w:ind w:left="3079"/>
        <w:outlineLvl w:val="0"/>
        <w:rPr>
          <w:rFonts w:hint="eastAsia" w:ascii="方正小标宋简体" w:hAnsi="方正小标宋简体" w:eastAsia="方正小标宋简体" w:cs="方正小标宋简体"/>
          <w:b/>
          <w:bCs/>
          <w:spacing w:val="7"/>
          <w:sz w:val="44"/>
          <w:szCs w:val="44"/>
        </w:rPr>
      </w:pPr>
      <w:r>
        <w:rPr>
          <w:rFonts w:hint="eastAsia" w:ascii="方正小标宋简体" w:hAnsi="方正小标宋简体" w:eastAsia="方正小标宋简体" w:cs="方正小标宋简体"/>
          <w:b/>
          <w:bCs/>
          <w:spacing w:val="7"/>
          <w:sz w:val="44"/>
          <w:szCs w:val="44"/>
        </w:rPr>
        <w:t>风险告知书</w:t>
      </w:r>
    </w:p>
    <w:p w14:paraId="4E1F392D">
      <w:pPr>
        <w:spacing w:before="91" w:line="229" w:lineRule="auto"/>
        <w:ind w:left="3079"/>
        <w:outlineLvl w:val="0"/>
        <w:rPr>
          <w:rFonts w:hint="eastAsia" w:ascii="方正小标宋简体" w:hAnsi="方正小标宋简体" w:eastAsia="方正小标宋简体" w:cs="方正小标宋简体"/>
          <w:b/>
          <w:bCs/>
          <w:spacing w:val="7"/>
          <w:sz w:val="44"/>
          <w:szCs w:val="44"/>
        </w:rPr>
      </w:pPr>
    </w:p>
    <w:p w14:paraId="4A359F70">
      <w:pPr>
        <w:pStyle w:val="2"/>
        <w:spacing w:before="140" w:line="226" w:lineRule="auto"/>
        <w:ind w:left="30"/>
        <w:rPr>
          <w:rFonts w:hint="eastAsia" w:ascii="仿宋_GB2312" w:hAnsi="仿宋_GB2312" w:eastAsia="仿宋_GB2312" w:cs="仿宋_GB2312"/>
          <w:sz w:val="32"/>
          <w:szCs w:val="32"/>
        </w:rPr>
      </w:pPr>
      <w:r>
        <w:rPr>
          <w:rFonts w:hint="eastAsia" w:ascii="仿宋_GB2312" w:hAnsi="仿宋_GB2312" w:eastAsia="仿宋_GB2312" w:cs="仿宋_GB2312"/>
          <w:spacing w:val="-14"/>
          <w:sz w:val="32"/>
          <w:szCs w:val="32"/>
        </w:rPr>
        <w:t>尊敬的客户：</w:t>
      </w:r>
    </w:p>
    <w:p w14:paraId="1BABBC00">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584" w:firstLineChars="200"/>
        <w:jc w:val="both"/>
        <w:textAlignment w:val="baseline"/>
        <w:rPr>
          <w:rFonts w:hint="eastAsia" w:ascii="仿宋_GB2312" w:hAnsi="仿宋_GB2312" w:eastAsia="仿宋_GB2312" w:cs="仿宋_GB2312"/>
          <w:spacing w:val="-14"/>
          <w:sz w:val="32"/>
          <w:szCs w:val="32"/>
        </w:rPr>
      </w:pPr>
      <w:r>
        <w:rPr>
          <w:rFonts w:hint="eastAsia" w:ascii="仿宋_GB2312" w:hAnsi="仿宋_GB2312" w:eastAsia="仿宋_GB2312" w:cs="仿宋_GB2312"/>
          <w:spacing w:val="-14"/>
          <w:sz w:val="32"/>
          <w:szCs w:val="32"/>
        </w:rPr>
        <w:t>您在我司办理印鉴备案、在江苏省国信数字科技有限公司办 理 CA 证书（数字证书）后</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通过 CA 证书（数字证书）认证后 登入我司《</w:t>
      </w:r>
      <w:r>
        <w:rPr>
          <w:rFonts w:hint="eastAsia" w:ascii="仿宋_GB2312" w:hAnsi="仿宋_GB2312" w:eastAsia="仿宋_GB2312" w:cs="仿宋_GB2312"/>
          <w:spacing w:val="-14"/>
          <w:sz w:val="32"/>
          <w:szCs w:val="32"/>
          <w:lang w:val="en-US" w:eastAsia="zh-CN"/>
        </w:rPr>
        <w:t>陆地港</w:t>
      </w:r>
      <w:r>
        <w:rPr>
          <w:rFonts w:hint="eastAsia" w:ascii="仿宋_GB2312" w:hAnsi="仿宋_GB2312" w:eastAsia="仿宋_GB2312" w:cs="仿宋_GB2312"/>
          <w:spacing w:val="-14"/>
          <w:sz w:val="32"/>
          <w:szCs w:val="32"/>
        </w:rPr>
        <w:t>智慧</w:t>
      </w:r>
      <w:r>
        <w:rPr>
          <w:rFonts w:hint="eastAsia" w:ascii="仿宋_GB2312" w:hAnsi="仿宋_GB2312" w:eastAsia="仿宋_GB2312" w:cs="仿宋_GB2312"/>
          <w:spacing w:val="-14"/>
          <w:sz w:val="32"/>
          <w:szCs w:val="32"/>
          <w:lang w:val="en-US" w:eastAsia="zh-CN"/>
        </w:rPr>
        <w:t>仓储</w:t>
      </w:r>
      <w:r>
        <w:rPr>
          <w:rFonts w:hint="eastAsia" w:ascii="仿宋_GB2312" w:hAnsi="仿宋_GB2312" w:eastAsia="仿宋_GB2312" w:cs="仿宋_GB2312"/>
          <w:spacing w:val="-14"/>
          <w:sz w:val="32"/>
          <w:szCs w:val="32"/>
        </w:rPr>
        <w:t>物流服务系统》进行货权转让、车船提货服务前</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请您充分了解和认识相关风险。</w:t>
      </w:r>
    </w:p>
    <w:p w14:paraId="25768F81">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jc w:val="both"/>
        <w:textAlignment w:val="baseline"/>
        <w:outlineLvl w:val="1"/>
        <w:rPr>
          <w:rFonts w:hint="eastAsia" w:ascii="黑体" w:hAnsi="黑体" w:eastAsia="黑体" w:cs="黑体"/>
          <w:b w:val="0"/>
          <w:bCs w:val="0"/>
          <w:sz w:val="32"/>
          <w:szCs w:val="32"/>
        </w:rPr>
      </w:pPr>
      <w:r>
        <w:rPr>
          <w:rFonts w:hint="eastAsia" w:ascii="黑体" w:hAnsi="黑体" w:eastAsia="黑体" w:cs="黑体"/>
          <w:b w:val="0"/>
          <w:bCs w:val="0"/>
          <w:sz w:val="32"/>
          <w:szCs w:val="32"/>
        </w:rPr>
        <w:t>一、</w:t>
      </w:r>
      <w:r>
        <w:rPr>
          <w:rFonts w:hint="eastAsia" w:ascii="黑体" w:hAnsi="黑体" w:eastAsia="黑体" w:cs="黑体"/>
          <w:b w:val="0"/>
          <w:bCs w:val="0"/>
          <w:spacing w:val="-58"/>
          <w:sz w:val="32"/>
          <w:szCs w:val="32"/>
        </w:rPr>
        <w:t xml:space="preserve"> </w:t>
      </w:r>
      <w:r>
        <w:rPr>
          <w:rFonts w:hint="eastAsia" w:ascii="黑体" w:hAnsi="黑体" w:eastAsia="黑体" w:cs="黑体"/>
          <w:b w:val="0"/>
          <w:bCs w:val="0"/>
          <w:sz w:val="32"/>
          <w:szCs w:val="32"/>
        </w:rPr>
        <w:t>法律、政策风险</w:t>
      </w:r>
    </w:p>
    <w:p w14:paraId="461AF37B">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584" w:firstLineChars="200"/>
        <w:jc w:val="both"/>
        <w:textAlignment w:val="baseline"/>
        <w:rPr>
          <w:rFonts w:hint="eastAsia" w:ascii="仿宋_GB2312" w:hAnsi="仿宋_GB2312" w:eastAsia="仿宋_GB2312" w:cs="仿宋_GB2312"/>
          <w:spacing w:val="-14"/>
          <w:sz w:val="32"/>
          <w:szCs w:val="32"/>
        </w:rPr>
      </w:pPr>
      <w:r>
        <w:rPr>
          <w:rFonts w:hint="eastAsia" w:ascii="仿宋_GB2312" w:hAnsi="仿宋_GB2312" w:eastAsia="仿宋_GB2312" w:cs="仿宋_GB2312"/>
          <w:spacing w:val="-14"/>
          <w:sz w:val="32"/>
          <w:szCs w:val="32"/>
        </w:rPr>
        <w:t>您已知悉国家法律、法规、规章、规范性文件、监管政策变化以及智慧物流服务系统各项交易规则的施行、修订、修正、废止等情况</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均可能会对您的交易产生影响</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您将自行承担由此产生的相关损失。</w:t>
      </w:r>
    </w:p>
    <w:p w14:paraId="6FE4EEC1">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jc w:val="both"/>
        <w:textAlignment w:val="baseline"/>
        <w:outlineLvl w:val="1"/>
        <w:rPr>
          <w:rFonts w:hint="eastAsia" w:ascii="黑体" w:hAnsi="黑体" w:eastAsia="黑体" w:cs="黑体"/>
          <w:b w:val="0"/>
          <w:bCs w:val="0"/>
          <w:sz w:val="32"/>
          <w:szCs w:val="32"/>
        </w:rPr>
      </w:pPr>
      <w:r>
        <w:rPr>
          <w:rFonts w:hint="eastAsia" w:ascii="黑体" w:hAnsi="黑体" w:eastAsia="黑体" w:cs="黑体"/>
          <w:b w:val="0"/>
          <w:bCs w:val="0"/>
          <w:sz w:val="32"/>
          <w:szCs w:val="32"/>
        </w:rPr>
        <w:t>二、 监管风险</w:t>
      </w:r>
    </w:p>
    <w:p w14:paraId="4931AAFC">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584" w:firstLineChars="200"/>
        <w:jc w:val="both"/>
        <w:textAlignment w:val="baseline"/>
        <w:rPr>
          <w:rFonts w:hint="eastAsia" w:ascii="仿宋_GB2312" w:hAnsi="仿宋_GB2312" w:eastAsia="仿宋_GB2312" w:cs="仿宋_GB2312"/>
          <w:spacing w:val="-14"/>
          <w:sz w:val="32"/>
          <w:szCs w:val="32"/>
        </w:rPr>
      </w:pPr>
      <w:r>
        <w:rPr>
          <w:rFonts w:hint="eastAsia" w:ascii="仿宋_GB2312" w:hAnsi="仿宋_GB2312" w:eastAsia="仿宋_GB2312" w:cs="仿宋_GB2312"/>
          <w:spacing w:val="-14"/>
          <w:sz w:val="32"/>
          <w:szCs w:val="32"/>
        </w:rPr>
        <w:t>您所开展的贸易业务均需基于真实的交易目的</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不得从事虚假贸易等违规经营活动。否则</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交易活动将被监管部门制止或被我司终止</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您将自行承担相应的法律后果。</w:t>
      </w:r>
    </w:p>
    <w:p w14:paraId="092D5D45">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jc w:val="both"/>
        <w:textAlignment w:val="baseline"/>
        <w:outlineLvl w:val="1"/>
        <w:rPr>
          <w:rFonts w:hint="eastAsia" w:ascii="黑体" w:hAnsi="黑体" w:eastAsia="黑体" w:cs="黑体"/>
          <w:b w:val="0"/>
          <w:bCs w:val="0"/>
          <w:sz w:val="32"/>
          <w:szCs w:val="32"/>
        </w:rPr>
      </w:pPr>
      <w:r>
        <w:rPr>
          <w:rFonts w:hint="eastAsia" w:ascii="黑体" w:hAnsi="黑体" w:eastAsia="黑体" w:cs="黑体"/>
          <w:b w:val="0"/>
          <w:bCs w:val="0"/>
          <w:sz w:val="32"/>
          <w:szCs w:val="32"/>
        </w:rPr>
        <w:t>三、技术风险</w:t>
      </w:r>
    </w:p>
    <w:p w14:paraId="3DFDB475">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584" w:firstLineChars="200"/>
        <w:jc w:val="both"/>
        <w:textAlignment w:val="baseline"/>
        <w:rPr>
          <w:rFonts w:hint="eastAsia" w:ascii="仿宋_GB2312" w:hAnsi="仿宋_GB2312" w:eastAsia="仿宋_GB2312" w:cs="仿宋_GB2312"/>
          <w:spacing w:val="-14"/>
          <w:sz w:val="32"/>
          <w:szCs w:val="32"/>
        </w:rPr>
      </w:pPr>
      <w:r>
        <w:rPr>
          <w:rFonts w:hint="eastAsia" w:ascii="仿宋_GB2312" w:hAnsi="仿宋_GB2312" w:eastAsia="仿宋_GB2312" w:cs="仿宋_GB2312"/>
          <w:spacing w:val="-14"/>
          <w:sz w:val="32"/>
          <w:szCs w:val="32"/>
          <w:lang w:val="en-US" w:eastAsia="zh-CN"/>
        </w:rPr>
        <w:t>陆地港</w:t>
      </w:r>
      <w:r>
        <w:rPr>
          <w:rFonts w:hint="eastAsia" w:ascii="仿宋_GB2312" w:hAnsi="仿宋_GB2312" w:eastAsia="仿宋_GB2312" w:cs="仿宋_GB2312"/>
          <w:spacing w:val="-14"/>
          <w:sz w:val="32"/>
          <w:szCs w:val="32"/>
        </w:rPr>
        <w:t>智慧</w:t>
      </w:r>
      <w:r>
        <w:rPr>
          <w:rFonts w:hint="eastAsia" w:ascii="仿宋_GB2312" w:hAnsi="仿宋_GB2312" w:eastAsia="仿宋_GB2312" w:cs="仿宋_GB2312"/>
          <w:spacing w:val="-14"/>
          <w:sz w:val="32"/>
          <w:szCs w:val="32"/>
          <w:lang w:val="en-US" w:eastAsia="zh-CN"/>
        </w:rPr>
        <w:t>仓储</w:t>
      </w:r>
      <w:r>
        <w:rPr>
          <w:rFonts w:hint="eastAsia" w:ascii="仿宋_GB2312" w:hAnsi="仿宋_GB2312" w:eastAsia="仿宋_GB2312" w:cs="仿宋_GB2312"/>
          <w:spacing w:val="-14"/>
          <w:sz w:val="32"/>
          <w:szCs w:val="32"/>
        </w:rPr>
        <w:t>物流服务系统开展的业务通过互联网技术实现。有关通讯服务、交易界面及支持交易界面的软、硬件服务可能 会存在稳定性方面的风险；电讯信号有强弱之分；交易界面 的设备配置或连接的稳定性以及互联网传播和接收的实时性可能遭受各种因素的影响。以上通讯或网络故障导致的某 些服务中断或延时可能会对您的交易产生影响。另外</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您的计算机系统可能遭受病毒或网络黑客攻击</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从而使您的交易决策无法正确或及时执行；或因您未修改初始密码、交易密码设置过于简单或者未妥善保管交易密码而导致您的账户被他人盗用。您已充分了解上述因素影响并自行承担由此产生的相关损失。</w:t>
      </w:r>
    </w:p>
    <w:p w14:paraId="6B4DD2A2">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jc w:val="both"/>
        <w:textAlignment w:val="baseline"/>
        <w:outlineLvl w:val="1"/>
        <w:rPr>
          <w:rFonts w:hint="eastAsia" w:ascii="黑体" w:hAnsi="黑体" w:eastAsia="黑体" w:cs="黑体"/>
          <w:b w:val="0"/>
          <w:bCs w:val="0"/>
          <w:sz w:val="32"/>
          <w:szCs w:val="32"/>
        </w:rPr>
      </w:pPr>
      <w:r>
        <w:rPr>
          <w:rFonts w:hint="eastAsia" w:ascii="黑体" w:hAnsi="黑体" w:eastAsia="黑体" w:cs="黑体"/>
          <w:b w:val="0"/>
          <w:bCs w:val="0"/>
          <w:sz w:val="32"/>
          <w:szCs w:val="32"/>
        </w:rPr>
        <w:t>四、信用风险</w:t>
      </w:r>
    </w:p>
    <w:p w14:paraId="4598C961">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584" w:firstLineChars="200"/>
        <w:jc w:val="both"/>
        <w:textAlignment w:val="baseline"/>
        <w:rPr>
          <w:rFonts w:hint="eastAsia" w:ascii="仿宋_GB2312" w:hAnsi="仿宋_GB2312" w:eastAsia="仿宋_GB2312" w:cs="仿宋_GB2312"/>
          <w:spacing w:val="-14"/>
          <w:sz w:val="32"/>
          <w:szCs w:val="32"/>
        </w:rPr>
      </w:pPr>
      <w:r>
        <w:rPr>
          <w:rFonts w:hint="eastAsia" w:ascii="仿宋_GB2312" w:hAnsi="仿宋_GB2312" w:eastAsia="仿宋_GB2312" w:cs="仿宋_GB2312"/>
          <w:spacing w:val="-14"/>
          <w:sz w:val="32"/>
          <w:szCs w:val="32"/>
          <w:lang w:val="en-US" w:eastAsia="zh-CN"/>
        </w:rPr>
        <w:t>陆地港</w:t>
      </w:r>
      <w:r>
        <w:rPr>
          <w:rFonts w:hint="eastAsia" w:ascii="仿宋_GB2312" w:hAnsi="仿宋_GB2312" w:eastAsia="仿宋_GB2312" w:cs="仿宋_GB2312"/>
          <w:spacing w:val="-14"/>
          <w:sz w:val="32"/>
          <w:szCs w:val="32"/>
        </w:rPr>
        <w:t>智慧</w:t>
      </w:r>
      <w:r>
        <w:rPr>
          <w:rFonts w:hint="eastAsia" w:ascii="仿宋_GB2312" w:hAnsi="仿宋_GB2312" w:eastAsia="仿宋_GB2312" w:cs="仿宋_GB2312"/>
          <w:spacing w:val="-14"/>
          <w:sz w:val="32"/>
          <w:szCs w:val="32"/>
          <w:lang w:val="en-US" w:eastAsia="zh-CN"/>
        </w:rPr>
        <w:t>仓储</w:t>
      </w:r>
      <w:r>
        <w:rPr>
          <w:rFonts w:hint="eastAsia" w:ascii="仿宋_GB2312" w:hAnsi="仿宋_GB2312" w:eastAsia="仿宋_GB2312" w:cs="仿宋_GB2312"/>
          <w:spacing w:val="-14"/>
          <w:sz w:val="32"/>
          <w:szCs w:val="32"/>
        </w:rPr>
        <w:t>物流服务系统仅提供货转转让、车船提货单服务</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不参与交易双方的现货交易</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不承担现货交收责任。您可能会面临交易对手方无法支付款项或提供符合要求货物的信用风险。您应当自行承担由此产生的相关损失。</w:t>
      </w:r>
    </w:p>
    <w:p w14:paraId="44824538">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jc w:val="both"/>
        <w:textAlignment w:val="baseline"/>
        <w:outlineLvl w:val="1"/>
        <w:rPr>
          <w:rFonts w:hint="eastAsia" w:ascii="黑体" w:hAnsi="黑体" w:eastAsia="黑体" w:cs="黑体"/>
          <w:b w:val="0"/>
          <w:bCs w:val="0"/>
          <w:sz w:val="32"/>
          <w:szCs w:val="32"/>
        </w:rPr>
      </w:pPr>
      <w:r>
        <w:rPr>
          <w:rFonts w:hint="eastAsia" w:ascii="黑体" w:hAnsi="黑体" w:eastAsia="黑体" w:cs="黑体"/>
          <w:b w:val="0"/>
          <w:bCs w:val="0"/>
          <w:sz w:val="32"/>
          <w:szCs w:val="32"/>
        </w:rPr>
        <w:t>五、不可抗力风险</w:t>
      </w:r>
    </w:p>
    <w:p w14:paraId="14675BF1">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584" w:firstLineChars="200"/>
        <w:jc w:val="both"/>
        <w:textAlignment w:val="baseline"/>
        <w:rPr>
          <w:rFonts w:hint="eastAsia" w:ascii="仿宋_GB2312" w:hAnsi="仿宋_GB2312" w:eastAsia="仿宋_GB2312" w:cs="仿宋_GB2312"/>
          <w:spacing w:val="-14"/>
          <w:sz w:val="32"/>
          <w:szCs w:val="32"/>
        </w:rPr>
      </w:pPr>
      <w:r>
        <w:rPr>
          <w:rFonts w:hint="eastAsia" w:ascii="仿宋_GB2312" w:hAnsi="仿宋_GB2312" w:eastAsia="仿宋_GB2312" w:cs="仿宋_GB2312"/>
          <w:spacing w:val="-14"/>
          <w:sz w:val="32"/>
          <w:szCs w:val="32"/>
        </w:rPr>
        <w:t>任何我司不能够控制的原因</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包括但不限于地震、水灾、 火灾、台风、疫情、战争等不可抗力因素或技术故障、通讯   故障和电力故障等</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都有可能会对您的交易产生影响</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你已经充分了解并自行承担由此产生的全部损失。</w:t>
      </w:r>
    </w:p>
    <w:p w14:paraId="11625E48">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584" w:firstLineChars="200"/>
        <w:jc w:val="both"/>
        <w:textAlignment w:val="baseline"/>
        <w:rPr>
          <w:rFonts w:hint="eastAsia" w:ascii="仿宋_GB2312" w:hAnsi="仿宋_GB2312" w:eastAsia="仿宋_GB2312" w:cs="仿宋_GB2312"/>
          <w:spacing w:val="-14"/>
          <w:sz w:val="32"/>
          <w:szCs w:val="32"/>
        </w:rPr>
      </w:pPr>
      <w:r>
        <w:rPr>
          <w:rFonts w:hint="eastAsia" w:ascii="仿宋_GB2312" w:hAnsi="仿宋_GB2312" w:eastAsia="仿宋_GB2312" w:cs="仿宋_GB2312"/>
          <w:spacing w:val="-14"/>
          <w:sz w:val="32"/>
          <w:szCs w:val="32"/>
        </w:rPr>
        <w:t>上述风险仅为列举性质</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未能详尽列明所有的风险因素</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您应当自行认真了解和掌握其他可能存在的风险因素。</w:t>
      </w:r>
    </w:p>
    <w:p w14:paraId="30FA2F92">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584" w:firstLineChars="200"/>
        <w:jc w:val="both"/>
        <w:textAlignment w:val="baseline"/>
        <w:rPr>
          <w:rFonts w:hint="eastAsia" w:ascii="仿宋_GB2312" w:hAnsi="仿宋_GB2312" w:eastAsia="仿宋_GB2312" w:cs="仿宋_GB2312"/>
          <w:spacing w:val="-14"/>
          <w:sz w:val="32"/>
          <w:szCs w:val="32"/>
        </w:rPr>
      </w:pPr>
      <w:r>
        <w:rPr>
          <w:rFonts w:hint="eastAsia" w:ascii="仿宋_GB2312" w:hAnsi="仿宋_GB2312" w:eastAsia="仿宋_GB2312" w:cs="仿宋_GB2312"/>
          <w:spacing w:val="-14"/>
          <w:sz w:val="32"/>
          <w:szCs w:val="32"/>
        </w:rPr>
        <w:t>您已仔细阅读上述所有条款</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并已特别注意黑体字条款</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您对所有条款的含义及相应的法律后果已全部知晓并充分理解。</w:t>
      </w:r>
    </w:p>
    <w:p w14:paraId="73C05988">
      <w:pPr>
        <w:spacing w:line="452" w:lineRule="auto"/>
        <w:rPr>
          <w:rFonts w:hint="eastAsia" w:ascii="仿宋_GB2312" w:hAnsi="仿宋_GB2312" w:eastAsia="仿宋_GB2312" w:cs="仿宋_GB2312"/>
          <w:snapToGrid w:val="0"/>
          <w:color w:val="000000"/>
          <w:spacing w:val="-14"/>
          <w:kern w:val="0"/>
          <w:sz w:val="32"/>
          <w:szCs w:val="32"/>
          <w:lang w:val="en-US" w:eastAsia="en-US" w:bidi="ar-SA"/>
        </w:rPr>
      </w:pPr>
    </w:p>
    <w:p w14:paraId="61FE70E1">
      <w:pPr>
        <w:pStyle w:val="2"/>
        <w:keepNext w:val="0"/>
        <w:keepLines w:val="0"/>
        <w:pageBreakBefore w:val="0"/>
        <w:widowControl/>
        <w:kinsoku w:val="0"/>
        <w:wordWrap/>
        <w:overflowPunct/>
        <w:topLinePunct w:val="0"/>
        <w:autoSpaceDE w:val="0"/>
        <w:autoSpaceDN w:val="0"/>
        <w:bidi w:val="0"/>
        <w:adjustRightInd w:val="0"/>
        <w:snapToGrid w:val="0"/>
        <w:spacing w:before="103" w:line="223" w:lineRule="auto"/>
        <w:ind w:left="0" w:firstLine="4380" w:firstLineChars="1500"/>
        <w:jc w:val="left"/>
        <w:textAlignment w:val="baseline"/>
        <w:rPr>
          <w:rFonts w:hint="eastAsia" w:ascii="仿宋_GB2312" w:hAnsi="仿宋_GB2312" w:eastAsia="仿宋_GB2312" w:cs="仿宋_GB2312"/>
          <w:snapToGrid w:val="0"/>
          <w:color w:val="000000"/>
          <w:spacing w:val="-14"/>
          <w:kern w:val="0"/>
          <w:sz w:val="32"/>
          <w:szCs w:val="32"/>
          <w:lang w:val="en-US" w:eastAsia="en-US" w:bidi="ar-SA"/>
        </w:rPr>
      </w:pPr>
    </w:p>
    <w:p w14:paraId="6F8FD9D7">
      <w:pPr>
        <w:pStyle w:val="2"/>
        <w:keepNext w:val="0"/>
        <w:keepLines w:val="0"/>
        <w:pageBreakBefore w:val="0"/>
        <w:widowControl/>
        <w:kinsoku w:val="0"/>
        <w:wordWrap/>
        <w:overflowPunct/>
        <w:topLinePunct w:val="0"/>
        <w:autoSpaceDE w:val="0"/>
        <w:autoSpaceDN w:val="0"/>
        <w:bidi w:val="0"/>
        <w:adjustRightInd w:val="0"/>
        <w:snapToGrid w:val="0"/>
        <w:spacing w:before="103" w:line="223" w:lineRule="auto"/>
        <w:ind w:left="0" w:firstLine="4380" w:firstLineChars="1500"/>
        <w:jc w:val="left"/>
        <w:textAlignment w:val="baseline"/>
        <w:rPr>
          <w:rFonts w:hint="eastAsia" w:ascii="仿宋_GB2312" w:hAnsi="仿宋_GB2312" w:eastAsia="仿宋_GB2312" w:cs="仿宋_GB2312"/>
          <w:snapToGrid w:val="0"/>
          <w:color w:val="000000"/>
          <w:spacing w:val="-14"/>
          <w:kern w:val="0"/>
          <w:sz w:val="32"/>
          <w:szCs w:val="32"/>
          <w:lang w:val="en-US" w:eastAsia="en-US" w:bidi="ar-SA"/>
        </w:rPr>
      </w:pPr>
      <w:r>
        <w:rPr>
          <w:rFonts w:hint="eastAsia" w:ascii="仿宋_GB2312" w:hAnsi="仿宋_GB2312" w:eastAsia="仿宋_GB2312" w:cs="仿宋_GB2312"/>
          <w:snapToGrid w:val="0"/>
          <w:color w:val="000000"/>
          <w:spacing w:val="-14"/>
          <w:kern w:val="0"/>
          <w:sz w:val="32"/>
          <w:szCs w:val="32"/>
          <w:lang w:val="en-US" w:eastAsia="en-US" w:bidi="ar-SA"/>
        </w:rPr>
        <w:t>承诺单位（盖章）：</w:t>
      </w:r>
      <w:permStart w:id="0" w:edGrp="everyone"/>
    </w:p>
    <w:permEnd w:id="0"/>
    <w:p w14:paraId="4F8C81CC">
      <w:pPr>
        <w:pStyle w:val="2"/>
        <w:keepNext w:val="0"/>
        <w:keepLines w:val="0"/>
        <w:pageBreakBefore w:val="0"/>
        <w:widowControl/>
        <w:kinsoku w:val="0"/>
        <w:wordWrap/>
        <w:overflowPunct/>
        <w:topLinePunct w:val="0"/>
        <w:autoSpaceDE w:val="0"/>
        <w:autoSpaceDN w:val="0"/>
        <w:bidi w:val="0"/>
        <w:adjustRightInd w:val="0"/>
        <w:snapToGrid w:val="0"/>
        <w:spacing w:before="246" w:line="227" w:lineRule="auto"/>
        <w:ind w:left="0" w:firstLine="4380" w:firstLineChars="1500"/>
        <w:jc w:val="left"/>
        <w:textAlignment w:val="baseline"/>
        <w:rPr>
          <w:rFonts w:hint="eastAsia" w:ascii="仿宋_GB2312" w:hAnsi="仿宋_GB2312" w:eastAsia="仿宋_GB2312" w:cs="仿宋_GB2312"/>
          <w:snapToGrid w:val="0"/>
          <w:color w:val="000000"/>
          <w:spacing w:val="-14"/>
          <w:kern w:val="0"/>
          <w:sz w:val="32"/>
          <w:szCs w:val="32"/>
          <w:lang w:val="en-US" w:eastAsia="en-US" w:bidi="ar-SA"/>
        </w:rPr>
      </w:pPr>
      <w:r>
        <w:rPr>
          <w:rFonts w:hint="eastAsia" w:ascii="仿宋_GB2312" w:hAnsi="仿宋_GB2312" w:eastAsia="仿宋_GB2312" w:cs="仿宋_GB2312"/>
          <w:snapToGrid w:val="0"/>
          <w:color w:val="000000"/>
          <w:spacing w:val="-14"/>
          <w:kern w:val="0"/>
          <w:sz w:val="32"/>
          <w:szCs w:val="32"/>
          <w:lang w:val="en-US" w:eastAsia="en-US" w:bidi="ar-SA"/>
        </w:rPr>
        <w:t>法定代表人：</w:t>
      </w:r>
      <w:permStart w:id="1" w:edGrp="everyone"/>
    </w:p>
    <w:permEnd w:id="1"/>
    <w:p w14:paraId="70979AA1">
      <w:pPr>
        <w:pStyle w:val="2"/>
        <w:keepNext w:val="0"/>
        <w:keepLines w:val="0"/>
        <w:pageBreakBefore w:val="0"/>
        <w:widowControl/>
        <w:kinsoku w:val="0"/>
        <w:wordWrap/>
        <w:overflowPunct/>
        <w:topLinePunct w:val="0"/>
        <w:autoSpaceDE w:val="0"/>
        <w:autoSpaceDN w:val="0"/>
        <w:bidi w:val="0"/>
        <w:adjustRightInd w:val="0"/>
        <w:snapToGrid w:val="0"/>
        <w:spacing w:before="239" w:line="233" w:lineRule="auto"/>
        <w:ind w:left="0" w:firstLine="4380" w:firstLineChars="1500"/>
        <w:jc w:val="left"/>
        <w:textAlignment w:val="baseline"/>
        <w:rPr>
          <w:rFonts w:hint="eastAsia" w:ascii="仿宋_GB2312" w:hAnsi="仿宋_GB2312" w:eastAsia="仿宋_GB2312" w:cs="仿宋_GB2312"/>
          <w:snapToGrid w:val="0"/>
          <w:color w:val="000000"/>
          <w:spacing w:val="-14"/>
          <w:kern w:val="0"/>
          <w:sz w:val="32"/>
          <w:szCs w:val="32"/>
          <w:lang w:val="en-US" w:eastAsia="en-US" w:bidi="ar-SA"/>
        </w:rPr>
      </w:pPr>
      <w:r>
        <w:rPr>
          <w:rFonts w:hint="eastAsia" w:ascii="仿宋_GB2312" w:hAnsi="仿宋_GB2312" w:eastAsia="仿宋_GB2312" w:cs="仿宋_GB2312"/>
          <w:snapToGrid w:val="0"/>
          <w:color w:val="000000"/>
          <w:spacing w:val="-14"/>
          <w:kern w:val="0"/>
          <w:sz w:val="32"/>
          <w:szCs w:val="32"/>
          <w:lang w:val="en-US" w:eastAsia="en-US" w:bidi="ar-SA"/>
        </w:rPr>
        <w:t>日  期：</w:t>
      </w:r>
      <w:bookmarkStart w:id="0" w:name="_GoBack"/>
      <w:bookmarkEnd w:id="0"/>
      <w:permStart w:id="2" w:edGrp="everyone"/>
      <w:permEnd w:id="2"/>
    </w:p>
    <w:sectPr>
      <w:pgSz w:w="11907" w:h="16839"/>
      <w:pgMar w:top="1431" w:right="1563" w:bottom="1429"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dit="readOnly" w:formatting="1" w:enforcement="1" w:cryptProviderType="rsaFull" w:cryptAlgorithmClass="hash" w:cryptAlgorithmType="typeAny" w:cryptAlgorithmSid="4" w:cryptSpinCount="0" w:hash="pGd1FYwIK+d47f1LtgpjzTh4YaQ=" w:salt="C+yzegfHhTiR1Tx/b/1sUA=="/>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A586DC1"/>
    <w:rsid w:val="3C1F0AF9"/>
    <w:rsid w:val="3C8D013D"/>
    <w:rsid w:val="46DD02CD"/>
    <w:rsid w:val="6B8712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等线 Light" w:hAnsi="等线 Light" w:eastAsia="等线 Light" w:cs="等线 Light"/>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894</Words>
  <Characters>896</Characters>
  <TotalTime>1</TotalTime>
  <ScaleCrop>false</ScaleCrop>
  <LinksUpToDate>false</LinksUpToDate>
  <CharactersWithSpaces>913</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2024-11-16T07:44:00Z</dcterms:created>
  <dc:creator>CQY</dc:creator>
  <cp:lastModifiedBy>wu</cp:lastModifiedBy>
  <dcterms:modified xsi:type="dcterms:W3CDTF">2025-09-26T10:55:26Z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2025-09-16T15:43:47Z</vt:filetime>
  </property>
  <property fmtid="{D5CDD505-2E9C-101B-9397-08002B2CF9AE}" pid="4" name="KSOTemplateDocerSaveRecord">
    <vt:lpwstr>eyJoZGlkIjoiNGE2OWNlNDJhOWQ0ZmY3MGQ2ZjkxNGE4ZmZlMWIxNDciLCJ1c2VySWQiOiI0NzgyOTQ1NjYifQ==</vt:lpwstr>
  </property>
  <property fmtid="{D5CDD505-2E9C-101B-9397-08002B2CF9AE}" pid="5" name="KSOProductBuildVer">
    <vt:lpwstr>2052-12.1.0.22529</vt:lpwstr>
  </property>
  <property fmtid="{D5CDD505-2E9C-101B-9397-08002B2CF9AE}" pid="6" name="ICV">
    <vt:lpwstr>5A76206443EF43789E5C53966B06D04E_12</vt:lpwstr>
  </property>
</Properties>
</file>